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粤府土审（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eastAsia="仿宋_GB2312"/>
          <w:color w:val="000000"/>
          <w:sz w:val="32"/>
          <w:szCs w:val="32"/>
        </w:rPr>
        <w:t>）〔20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eastAsia="仿宋_GB2312"/>
          <w:color w:val="000000"/>
          <w:sz w:val="32"/>
          <w:szCs w:val="32"/>
        </w:rPr>
        <w:t>〕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09</w:t>
      </w:r>
      <w:r>
        <w:rPr>
          <w:rFonts w:hint="eastAsia" w:eastAsia="仿宋_GB2312"/>
          <w:color w:val="000000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广东省人民政府关于广州市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黄埔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年度第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六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批次城镇建设用地的批复</w:t>
      </w: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广州市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黄埔区</w:t>
      </w:r>
      <w:r>
        <w:rPr>
          <w:rFonts w:hint="eastAsia" w:eastAsia="仿宋_GB2312"/>
          <w:color w:val="000000"/>
          <w:sz w:val="32"/>
          <w:szCs w:val="32"/>
        </w:rPr>
        <w:t>人民政府：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000000"/>
          <w:sz w:val="32"/>
          <w:szCs w:val="32"/>
        </w:rPr>
        <w:t>《关于</w:t>
      </w:r>
      <w:r>
        <w:rPr>
          <w:rFonts w:hint="default" w:eastAsia="仿宋_GB2312"/>
          <w:color w:val="000000"/>
          <w:sz w:val="32"/>
          <w:szCs w:val="32"/>
        </w:rPr>
        <w:t>审批广州市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黄埔区2021</w:t>
      </w:r>
      <w:r>
        <w:rPr>
          <w:rFonts w:eastAsia="仿宋_GB2312"/>
          <w:color w:val="000000"/>
          <w:sz w:val="32"/>
          <w:szCs w:val="32"/>
        </w:rPr>
        <w:t>年度第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六</w:t>
      </w:r>
      <w:r>
        <w:rPr>
          <w:rFonts w:eastAsia="仿宋_GB2312"/>
          <w:color w:val="000000"/>
          <w:sz w:val="32"/>
          <w:szCs w:val="32"/>
        </w:rPr>
        <w:t>批次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城镇建设用地的请示》（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穗开规划资源报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〔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〕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278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号）及相关材料已通过审核。根据《中华人民共和国土地管理法》第四十四、</w:t>
      </w:r>
      <w:r>
        <w:rPr>
          <w:rFonts w:hint="default" w:eastAsia="仿宋_GB2312"/>
          <w:color w:val="auto"/>
          <w:sz w:val="32"/>
          <w:szCs w:val="32"/>
          <w:highlight w:val="none"/>
          <w:u w:val="none"/>
          <w:lang w:eastAsia="zh-CN"/>
        </w:rPr>
        <w:t>四十五、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四十</w:t>
      </w:r>
      <w:r>
        <w:rPr>
          <w:rFonts w:hint="default" w:eastAsia="仿宋_GB2312"/>
          <w:color w:val="auto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条，批复如下：</w:t>
      </w:r>
    </w:p>
    <w:p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同意上报的农用地转用方案和征收土地方案。同意你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将</w:t>
      </w:r>
      <w:r>
        <w:rPr>
          <w:rFonts w:ascii="Times New Roman" w:hAnsi="Times New Roman" w:eastAsia="仿宋_GB2312"/>
          <w:sz w:val="32"/>
          <w:szCs w:val="32"/>
        </w:rPr>
        <w:t>新龙镇金坑村邓屋经济合作社、新龙镇金坑村龙山经济合作社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属下的集体农用地</w:t>
      </w:r>
      <w:r>
        <w:rPr>
          <w:rFonts w:ascii="Times New Roman" w:hAnsi="Times New Roman" w:eastAsia="仿宋_GB2312"/>
          <w:sz w:val="32"/>
          <w:szCs w:val="32"/>
        </w:rPr>
        <w:t>3.7268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公顷</w:t>
      </w:r>
      <w:r>
        <w:rPr>
          <w:rFonts w:ascii="Times New Roman" w:eastAsia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林地</w:t>
      </w:r>
      <w:r>
        <w:rPr>
          <w:rFonts w:ascii="Times New Roman" w:hAnsi="Times New Roman" w:eastAsia="TimesNewRomanPSMT"/>
          <w:kern w:val="0"/>
          <w:sz w:val="32"/>
          <w:szCs w:val="32"/>
        </w:rPr>
        <w:t>3.4191</w:t>
      </w:r>
      <w:r>
        <w:rPr>
          <w:rFonts w:ascii="Times New Roman" w:hAnsi="Times New Roman" w:eastAsia="仿宋_GB2312"/>
          <w:kern w:val="0"/>
          <w:sz w:val="32"/>
          <w:szCs w:val="32"/>
        </w:rPr>
        <w:t>公顷、其他农用地</w:t>
      </w:r>
      <w:r>
        <w:rPr>
          <w:rFonts w:ascii="Times New Roman" w:hAnsi="Times New Roman" w:eastAsia="TimesNewRomanPSMT"/>
          <w:kern w:val="0"/>
          <w:sz w:val="32"/>
          <w:szCs w:val="32"/>
        </w:rPr>
        <w:t>0.3077</w:t>
      </w:r>
      <w:r>
        <w:rPr>
          <w:rFonts w:ascii="Times New Roman" w:hAnsi="Times New Roman" w:eastAsia="仿宋_GB2312"/>
          <w:kern w:val="0"/>
          <w:sz w:val="32"/>
          <w:szCs w:val="32"/>
        </w:rPr>
        <w:t>公顷</w:t>
      </w:r>
      <w:r>
        <w:rPr>
          <w:rFonts w:ascii="Times New Roman" w:eastAsia="仿宋_GB2312"/>
          <w:color w:val="auto"/>
          <w:sz w:val="32"/>
          <w:szCs w:val="32"/>
          <w:highlight w:val="none"/>
          <w:u w:val="none"/>
        </w:rPr>
        <w:t>）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转为建设用地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上述土地（合计</w:t>
      </w:r>
      <w:r>
        <w:rPr>
          <w:rFonts w:ascii="Times New Roman" w:hAnsi="Times New Roman" w:eastAsia="仿宋_GB2312"/>
          <w:sz w:val="32"/>
          <w:szCs w:val="32"/>
        </w:rPr>
        <w:t>3.7268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公顷）经完善相关手续后依照规划安排作为</w:t>
      </w:r>
      <w:r>
        <w:rPr>
          <w:rFonts w:hint="default" w:eastAsia="仿宋_GB2312"/>
          <w:color w:val="auto"/>
          <w:sz w:val="32"/>
          <w:szCs w:val="32"/>
          <w:highlight w:val="none"/>
          <w:u w:val="none"/>
        </w:rPr>
        <w:t>广州市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黄埔</w:t>
      </w:r>
      <w:r>
        <w:rPr>
          <w:rFonts w:hint="default" w:eastAsia="仿宋_GB2312"/>
          <w:color w:val="auto"/>
          <w:sz w:val="32"/>
          <w:szCs w:val="32"/>
          <w:highlight w:val="none"/>
          <w:u w:val="none"/>
        </w:rPr>
        <w:t>区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城镇建设用地。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二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、同意上报的补充耕地方案。对应核销耕地数量、水田规模和标准粮食产能指标（确认信息编号：</w:t>
      </w:r>
      <w:r>
        <w:rPr>
          <w:rFonts w:ascii="Times New Roman" w:eastAsia="仿宋_GB2312"/>
          <w:sz w:val="32"/>
          <w:szCs w:val="32"/>
        </w:rPr>
        <w:t>440000202109760227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），已落实占补平衡。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三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、该批次用地在土地利用总体规划中安排为城乡建设用地，供地时土地用途应与土地利用总体规划中的规划安排相符；同时，供地方式、供地规模、供地标准等应严格按照国家和省的有关规定执行，切实做到节约集约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四、请你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人民政府按规定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发布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征收土地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公告，依法组织实施征地，切实保障被征地群众生活出路。征地补偿安置不落实的，不得强行使用被征土地。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五、使用土地涉及有关税费的收缴或调整，请按有关规定办理。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、征地批后实施情况和具体项目供地情况须按规定报备。</w:t>
      </w:r>
    </w:p>
    <w:p>
      <w:pPr>
        <w:widowControl/>
        <w:spacing w:line="560" w:lineRule="exact"/>
        <w:ind w:firstLine="645"/>
        <w:textAlignment w:val="baseline"/>
        <w:rPr>
          <w:rFonts w:hint="eastAsia" w:eastAsia="仿宋_GB2312"/>
          <w:b w:val="0"/>
          <w:color w:val="auto"/>
          <w:sz w:val="32"/>
          <w:szCs w:val="32"/>
          <w:highlight w:val="none"/>
          <w:u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七、用地范围如有涉及历史文化名城、古树名木、文物古迹、河道管理、环境保护、人防设施等，请与相关行业主管部门做好衔接，严格落实其要求，做好保护工作。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auto"/>
          <w:sz w:val="32"/>
          <w:szCs w:val="32"/>
          <w:highlight w:val="none"/>
          <w:u w:val="none"/>
        </w:rPr>
      </w:pP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17</w:t>
      </w:r>
      <w:r>
        <w:rPr>
          <w:rFonts w:eastAsia="仿宋_GB2312"/>
          <w:sz w:val="32"/>
          <w:szCs w:val="32"/>
        </w:rPr>
        <w:t>日</w:t>
      </w:r>
    </w:p>
    <w:p>
      <w:pPr>
        <w:widowControl/>
        <w:spacing w:line="600" w:lineRule="exact"/>
        <w:textAlignment w:val="baseline"/>
        <w:rPr>
          <w:rFonts w:hint="eastAsia" w:eastAsia="仿宋_GB2312"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公开方式：</w:t>
      </w:r>
      <w:r>
        <w:rPr>
          <w:rFonts w:hint="eastAsia" w:eastAsia="仿宋_GB2312"/>
          <w:color w:val="auto"/>
          <w:sz w:val="32"/>
          <w:szCs w:val="32"/>
        </w:rPr>
        <w:t>主动公开</w:t>
      </w:r>
    </w:p>
    <w:p>
      <w:pPr>
        <w:spacing w:line="560" w:lineRule="exact"/>
        <w:ind w:left="1104" w:leftChars="201" w:hanging="690" w:hangingChars="250"/>
        <w:rPr>
          <w:rFonts w:hint="eastAsia"/>
          <w:color w:val="auto"/>
          <w:szCs w:val="32"/>
        </w:rPr>
      </w:pPr>
      <w:r>
        <w:rPr>
          <w:rFonts w:eastAsia="仿宋_GB2312"/>
          <w:color w:val="auto"/>
          <w:sz w:val="28"/>
          <w:szCs w:val="28"/>
        </w:rPr>
        <w:t>抄送：</w:t>
      </w:r>
      <w:r>
        <w:rPr>
          <w:rFonts w:hint="default" w:eastAsia="仿宋_GB2312"/>
          <w:color w:val="auto"/>
          <w:sz w:val="28"/>
          <w:szCs w:val="28"/>
        </w:rPr>
        <w:t>国家自然资源督察广州局，财政部广东监管局，省财政厅、</w:t>
      </w:r>
      <w:r>
        <w:rPr>
          <w:rFonts w:hint="default" w:eastAsia="仿宋_GB2312"/>
          <w:color w:val="auto"/>
          <w:sz w:val="28"/>
          <w:szCs w:val="28"/>
          <w:lang w:eastAsia="zh-CN"/>
        </w:rPr>
        <w:t>省人力资源和社会保障厅、</w:t>
      </w:r>
      <w:r>
        <w:rPr>
          <w:rFonts w:hint="default" w:eastAsia="仿宋_GB2312"/>
          <w:color w:val="auto"/>
          <w:sz w:val="28"/>
          <w:szCs w:val="28"/>
        </w:rPr>
        <w:t>省自然资源厅、</w:t>
      </w:r>
      <w:r>
        <w:rPr>
          <w:rFonts w:hint="default" w:eastAsia="仿宋_GB2312"/>
          <w:color w:val="auto"/>
          <w:sz w:val="28"/>
          <w:szCs w:val="28"/>
          <w:lang w:eastAsia="zh-CN"/>
        </w:rPr>
        <w:t>省农业农村厅、</w:t>
      </w:r>
      <w:r>
        <w:rPr>
          <w:rFonts w:hint="default" w:eastAsia="仿宋_GB2312"/>
          <w:color w:val="auto"/>
          <w:sz w:val="28"/>
          <w:szCs w:val="28"/>
        </w:rPr>
        <w:t>国家税务总局广东省税务局，</w:t>
      </w:r>
      <w:r>
        <w:rPr>
          <w:rFonts w:hint="default" w:eastAsia="仿宋_GB2312"/>
          <w:color w:val="auto"/>
          <w:sz w:val="28"/>
          <w:szCs w:val="28"/>
          <w:u w:val="none"/>
        </w:rPr>
        <w:t>省林业局</w:t>
      </w:r>
      <w:r>
        <w:rPr>
          <w:rFonts w:hint="eastAsia" w:eastAsia="仿宋_GB2312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eastAsia="仿宋_GB2312"/>
          <w:color w:val="auto"/>
          <w:sz w:val="28"/>
          <w:szCs w:val="28"/>
          <w:u w:val="none"/>
          <w:lang w:val="en-US" w:eastAsia="zh-CN"/>
        </w:rPr>
        <w:t>广州市规划和自然资源局，广州市规划和自然资源局黄埔区分局。</w:t>
      </w:r>
    </w:p>
    <w:p/>
    <w:sectPr>
      <w:footerReference r:id="rId3" w:type="default"/>
      <w:footerReference r:id="rId4" w:type="even"/>
      <w:pgSz w:w="11906" w:h="16838"/>
      <w:pgMar w:top="1814" w:right="1361" w:bottom="1474" w:left="1531" w:header="851" w:footer="1587" w:gutter="0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A13D7"/>
    <w:rsid w:val="466A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2022-06-23T12:32:00Z</dcterms:created>
  <dc:creator>吴康平（用途管制处）</dc:creator>
  <cp:lastModifiedBy>吴康平（用途管制处）</cp:lastModifiedBy>
  <dcterms:modified xsi:type="dcterms:W3CDTF">2022-06-23T12:34:23Z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