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hint="default" w:ascii="Times New Roman" w:hAnsi="Times New Roman" w:eastAsia="黑体" w:cs="Times New Roman"/>
          <w:sz w:val="44"/>
          <w:szCs w:val="52"/>
        </w:rPr>
      </w:pPr>
      <w:r>
        <w:rPr>
          <w:sz w:val="44"/>
        </w:rPr>
        <mc:AlternateContent>
          <mc:Choice Requires="wps">
            <w:drawing>
              <wp:anchor distT="0" distB="0" distL="114300" distR="114300" simplePos="0" relativeHeight="251658240" behindDoc="0" locked="0" layoutInCell="1" allowOverlap="1">
                <wp:simplePos x="0" y="0"/>
                <wp:positionH relativeFrom="column">
                  <wp:posOffset>-999490</wp:posOffset>
                </wp:positionH>
                <wp:positionV relativeFrom="paragraph">
                  <wp:posOffset>-808990</wp:posOffset>
                </wp:positionV>
                <wp:extent cx="1143000" cy="452120"/>
                <wp:effectExtent l="0" t="0" r="0" b="5080"/>
                <wp:wrapNone/>
                <wp:docPr id="1" name="文本框 1"/>
                <wp:cNvGraphicFramePr/>
                <a:graphic xmlns:a="http://schemas.openxmlformats.org/drawingml/2006/main">
                  <a:graphicData uri="http://schemas.microsoft.com/office/word/2010/wordprocessingShape">
                    <wps:wsp>
                      <wps:cNvSpPr txBox="1"/>
                      <wps:spPr>
                        <a:xfrm>
                          <a:off x="512445" y="474980"/>
                          <a:ext cx="1143000" cy="452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7pt;margin-top:-63.7pt;height:35.6pt;width:90pt;z-index:251658240;mso-width-relative:page;mso-height-relative:page;" fillcolor="#FFFFFF [3201]" filled="t" stroked="f" coordsize="21600,21600" o:gfxdata="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T3XiK1gAA&#10;AAwBAAAPAAAAAAAAAAEAIAAAACIAAABkcnMvZG93bnJldi54bWxQSwECFAAUAAAACACHTuJAQ6YC&#10;l1kCAACZBAAADgAAAAAAAAABACAAAAAlAQAAZHJzL2Uyb0RvYy54bWxQSwUGAAAAAAYABgBZAQAA&#10;8AU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52"/>
        </w:rPr>
      </w:pPr>
      <w:r>
        <w:rPr>
          <w:rFonts w:hint="default" w:ascii="Times New Roman" w:hAnsi="Times New Roman" w:eastAsia="黑体" w:cs="Times New Roman"/>
          <w:sz w:val="44"/>
          <w:szCs w:val="52"/>
        </w:rPr>
        <w:t>征地补偿安置方案</w:t>
      </w:r>
    </w:p>
    <w:p>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hint="default" w:ascii="Times New Roman" w:hAnsi="Times New Roman" w:eastAsia="黑体" w:cs="Times New Roman"/>
          <w:sz w:val="44"/>
          <w:szCs w:val="5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为实施城镇</w:t>
      </w:r>
      <w:r>
        <w:rPr>
          <w:rFonts w:hint="default" w:ascii="Times New Roman" w:hAnsi="Times New Roman" w:eastAsia="仿宋_GB2312" w:cs="Times New Roman"/>
          <w:color w:val="000000"/>
          <w:sz w:val="32"/>
          <w:szCs w:val="32"/>
        </w:rPr>
        <w:t>规</w:t>
      </w:r>
      <w:r>
        <w:rPr>
          <w:rFonts w:hint="default" w:ascii="Times New Roman" w:hAnsi="Times New Roman" w:eastAsia="仿宋_GB2312" w:cs="Times New Roman"/>
          <w:sz w:val="32"/>
          <w:szCs w:val="32"/>
        </w:rPr>
        <w:t>划，广</w:t>
      </w:r>
      <w:r>
        <w:rPr>
          <w:rFonts w:hint="default" w:ascii="Times New Roman" w:hAnsi="Times New Roman" w:eastAsia="仿宋_GB2312" w:cs="Times New Roman"/>
          <w:color w:val="000000"/>
          <w:sz w:val="32"/>
          <w:szCs w:val="32"/>
        </w:rPr>
        <w:t>州市南沙区人民政府拟征收</w:t>
      </w:r>
      <w:r>
        <w:rPr>
          <w:rFonts w:hint="default" w:ascii="Times New Roman" w:hAnsi="Times New Roman" w:eastAsia="仿宋_GB2312" w:cs="Times New Roman"/>
          <w:sz w:val="32"/>
        </w:rPr>
        <w:t>广东省广州市南沙区黄阁镇小虎经济联合社农民集体</w:t>
      </w:r>
      <w:r>
        <w:rPr>
          <w:rFonts w:hint="default" w:ascii="Times New Roman" w:hAnsi="Times New Roman" w:eastAsia="仿宋_GB2312" w:cs="Times New Roman"/>
          <w:color w:val="000000"/>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0.0107</w:t>
      </w:r>
      <w:r>
        <w:rPr>
          <w:rFonts w:hint="default" w:ascii="Times New Roman" w:hAnsi="Times New Roman" w:eastAsia="仿宋_GB2312" w:cs="Times New Roman"/>
          <w:sz w:val="32"/>
          <w:szCs w:val="32"/>
        </w:rPr>
        <w:t>公顷。根据《中华人民共和国土地管理法》《</w:t>
      </w:r>
      <w:r>
        <w:rPr>
          <w:rFonts w:hint="default" w:ascii="Times New Roman" w:hAnsi="Times New Roman" w:eastAsia="仿宋_GB2312" w:cs="Times New Roman"/>
          <w:sz w:val="32"/>
          <w:szCs w:val="32"/>
          <w:lang w:val="en-US" w:eastAsia="zh-CN"/>
        </w:rPr>
        <w:t>中华人民共和国土地管理法实施条例</w:t>
      </w:r>
      <w:r>
        <w:rPr>
          <w:rFonts w:hint="default" w:ascii="Times New Roman" w:hAnsi="Times New Roman" w:eastAsia="仿宋_GB2312" w:cs="Times New Roman"/>
          <w:sz w:val="32"/>
          <w:szCs w:val="32"/>
        </w:rPr>
        <w:t>》等规定以及广州市征收农用地区片综合地价，拟定了征地补偿安置方案，具体如下：</w:t>
      </w:r>
    </w:p>
    <w:p>
      <w:pPr>
        <w:spacing w:line="560" w:lineRule="exact"/>
        <w:ind w:left="640"/>
        <w:rPr>
          <w:rFonts w:hint="eastAsia" w:ascii="黑体" w:hAnsi="黑体" w:eastAsia="黑体" w:cs="黑体"/>
          <w:sz w:val="32"/>
          <w:szCs w:val="32"/>
        </w:rPr>
      </w:pPr>
      <w:r>
        <w:rPr>
          <w:rFonts w:hint="eastAsia" w:ascii="黑体" w:hAnsi="黑体" w:eastAsia="黑体" w:cs="黑体"/>
          <w:sz w:val="32"/>
          <w:szCs w:val="32"/>
        </w:rPr>
        <w:t>一、征收集体土地情况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征收集体土地总面积</w:t>
      </w:r>
      <w:r>
        <w:rPr>
          <w:rFonts w:hint="eastAsia" w:ascii="Times New Roman" w:hAnsi="Times New Roman" w:eastAsia="仿宋_GB2312" w:cs="Times New Roman"/>
          <w:sz w:val="32"/>
          <w:szCs w:val="32"/>
          <w:lang w:val="en-US" w:eastAsia="zh-CN"/>
        </w:rPr>
        <w:t>0.0107</w:t>
      </w:r>
      <w:r>
        <w:rPr>
          <w:rFonts w:hint="default" w:ascii="Times New Roman" w:hAnsi="Times New Roman" w:eastAsia="仿宋_GB2312" w:cs="Times New Roman"/>
          <w:sz w:val="32"/>
          <w:szCs w:val="32"/>
        </w:rPr>
        <w:t>公顷，根据拟征收土地现状调查，征地范围涉及土地现状农用地</w:t>
      </w:r>
      <w:r>
        <w:rPr>
          <w:rFonts w:hint="eastAsia" w:ascii="Times New Roman" w:hAnsi="Times New Roman" w:eastAsia="仿宋_GB2312" w:cs="Times New Roman"/>
          <w:sz w:val="32"/>
          <w:szCs w:val="32"/>
          <w:lang w:val="en-US" w:eastAsia="zh-CN"/>
        </w:rPr>
        <w:t>0.0001</w:t>
      </w:r>
      <w:r>
        <w:rPr>
          <w:rFonts w:hint="default" w:ascii="Times New Roman" w:hAnsi="Times New Roman" w:eastAsia="仿宋_GB2312" w:cs="Times New Roman"/>
          <w:sz w:val="32"/>
          <w:szCs w:val="32"/>
        </w:rPr>
        <w:t>公顷（其他农用地</w:t>
      </w:r>
      <w:r>
        <w:rPr>
          <w:rFonts w:hint="eastAsia" w:ascii="Times New Roman" w:hAnsi="Times New Roman" w:eastAsia="仿宋_GB2312" w:cs="Times New Roman"/>
          <w:sz w:val="32"/>
          <w:szCs w:val="32"/>
          <w:lang w:val="en-US" w:eastAsia="zh-CN"/>
        </w:rPr>
        <w:t>0.0001</w:t>
      </w:r>
      <w:r>
        <w:rPr>
          <w:rFonts w:hint="default" w:ascii="Times New Roman" w:hAnsi="Times New Roman" w:eastAsia="仿宋_GB2312" w:cs="Times New Roman"/>
          <w:sz w:val="32"/>
          <w:szCs w:val="32"/>
        </w:rPr>
        <w:t>公顷）、建设用地</w:t>
      </w:r>
      <w:r>
        <w:rPr>
          <w:rFonts w:hint="eastAsia" w:ascii="Times New Roman" w:hAnsi="Times New Roman" w:eastAsia="仿宋_GB2312" w:cs="Times New Roman"/>
          <w:sz w:val="32"/>
          <w:szCs w:val="32"/>
          <w:lang w:val="en-US" w:eastAsia="zh-CN"/>
        </w:rPr>
        <w:t>0.0106</w:t>
      </w:r>
      <w:r>
        <w:rPr>
          <w:rFonts w:hint="default" w:ascii="Times New Roman" w:hAnsi="Times New Roman" w:eastAsia="仿宋_GB2312" w:cs="Times New Roman"/>
          <w:sz w:val="32"/>
          <w:szCs w:val="32"/>
        </w:rPr>
        <w:t>公顷。根据用地报批地类</w:t>
      </w:r>
      <w:r>
        <w:rPr>
          <w:rFonts w:hint="eastAsia" w:ascii="Times New Roman" w:hAnsi="Times New Roman" w:eastAsia="仿宋_GB2312" w:cs="Times New Roman"/>
          <w:sz w:val="32"/>
          <w:szCs w:val="32"/>
          <w:lang w:val="en-US" w:eastAsia="zh-CN"/>
        </w:rPr>
        <w:t>还原</w:t>
      </w:r>
      <w:r>
        <w:rPr>
          <w:rFonts w:hint="default" w:ascii="Times New Roman" w:hAnsi="Times New Roman" w:eastAsia="仿宋_GB2312" w:cs="Times New Roman"/>
          <w:sz w:val="32"/>
          <w:szCs w:val="32"/>
        </w:rPr>
        <w:t>相关规则，上述征收地块报批地类</w:t>
      </w:r>
      <w:bookmarkStart w:id="0" w:name="_GoBack"/>
      <w:bookmarkEnd w:id="0"/>
      <w:r>
        <w:rPr>
          <w:rFonts w:hint="default" w:ascii="Times New Roman" w:hAnsi="Times New Roman" w:eastAsia="仿宋_GB2312" w:cs="Times New Roman"/>
          <w:sz w:val="32"/>
          <w:szCs w:val="32"/>
        </w:rPr>
        <w:t>为农用地</w:t>
      </w:r>
      <w:r>
        <w:rPr>
          <w:rFonts w:hint="eastAsia" w:ascii="Times New Roman" w:hAnsi="Times New Roman" w:eastAsia="仿宋_GB2312" w:cs="Times New Roman"/>
          <w:sz w:val="32"/>
          <w:szCs w:val="32"/>
          <w:lang w:val="en-US" w:eastAsia="zh-CN"/>
        </w:rPr>
        <w:t>0.0107</w:t>
      </w:r>
      <w:r>
        <w:rPr>
          <w:rFonts w:hint="default" w:ascii="Times New Roman" w:hAnsi="Times New Roman" w:eastAsia="仿宋_GB2312" w:cs="Times New Roman"/>
          <w:sz w:val="32"/>
          <w:szCs w:val="32"/>
        </w:rPr>
        <w:t>公顷（草地0.0</w:t>
      </w:r>
      <w:r>
        <w:rPr>
          <w:rFonts w:hint="eastAsia" w:ascii="Times New Roman" w:hAnsi="Times New Roman" w:eastAsia="仿宋_GB2312" w:cs="Times New Roman"/>
          <w:sz w:val="32"/>
          <w:szCs w:val="32"/>
          <w:lang w:val="en-US" w:eastAsia="zh-CN"/>
        </w:rPr>
        <w:t>009</w:t>
      </w:r>
      <w:r>
        <w:rPr>
          <w:rFonts w:hint="default" w:ascii="Times New Roman" w:hAnsi="Times New Roman" w:eastAsia="仿宋_GB2312" w:cs="Times New Roman"/>
          <w:sz w:val="32"/>
          <w:szCs w:val="32"/>
        </w:rPr>
        <w:t>公顷、其他农用地</w:t>
      </w:r>
      <w:r>
        <w:rPr>
          <w:rFonts w:hint="eastAsia" w:ascii="Times New Roman" w:hAnsi="Times New Roman" w:eastAsia="仿宋_GB2312" w:cs="Times New Roman"/>
          <w:sz w:val="32"/>
          <w:szCs w:val="32"/>
          <w:lang w:val="en-US" w:eastAsia="zh-CN"/>
        </w:rPr>
        <w:t>0.0098</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具体结果以用地批准结果为准。</w:t>
      </w:r>
    </w:p>
    <w:p>
      <w:pPr>
        <w:spacing w:line="560" w:lineRule="exact"/>
        <w:ind w:left="640"/>
        <w:rPr>
          <w:rFonts w:hint="default" w:ascii="黑体" w:hAnsi="黑体" w:eastAsia="黑体" w:cs="黑体"/>
          <w:sz w:val="32"/>
          <w:szCs w:val="32"/>
        </w:rPr>
      </w:pPr>
      <w:r>
        <w:rPr>
          <w:rFonts w:hint="default" w:ascii="黑体" w:hAnsi="黑体" w:eastAsia="黑体" w:cs="黑体"/>
          <w:sz w:val="32"/>
          <w:szCs w:val="32"/>
        </w:rPr>
        <w:t>二、土地补偿费与安置补偿费</w:t>
      </w:r>
    </w:p>
    <w:p>
      <w:pPr>
        <w:keepNext w:val="0"/>
        <w:keepLines w:val="0"/>
        <w:pageBreakBefore w:val="0"/>
        <w:widowControl w:val="0"/>
        <w:kinsoku/>
        <w:wordWrap/>
        <w:overflowPunct/>
        <w:topLinePunct w:val="0"/>
        <w:autoSpaceDE/>
        <w:autoSpaceDN/>
        <w:bidi w:val="0"/>
        <w:adjustRightInd/>
        <w:snapToGrid/>
        <w:spacing w:beforeLines="50"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土地补偿费与安置补偿费一览表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2"/>
          <w:szCs w:val="22"/>
        </w:rPr>
        <w:t>（单位：公顷、万元/公顷、万元）</w:t>
      </w:r>
    </w:p>
    <w:tbl>
      <w:tblPr>
        <w:tblStyle w:val="6"/>
        <w:tblpPr w:leftFromText="180" w:rightFromText="180" w:vertAnchor="text" w:horzAnchor="page" w:tblpX="1330" w:tblpY="365"/>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038"/>
        <w:gridCol w:w="1039"/>
        <w:gridCol w:w="1059"/>
        <w:gridCol w:w="1059"/>
        <w:gridCol w:w="1059"/>
        <w:gridCol w:w="106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038" w:type="dxa"/>
            <w:vMerge w:val="restart"/>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w:t>
            </w:r>
          </w:p>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类别</w:t>
            </w:r>
          </w:p>
        </w:tc>
        <w:tc>
          <w:tcPr>
            <w:tcW w:w="1039" w:type="dxa"/>
            <w:vMerge w:val="restart"/>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18" w:type="dxa"/>
            <w:gridSpan w:val="2"/>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120" w:type="dxa"/>
            <w:gridSpan w:val="2"/>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安置补偿费</w:t>
            </w:r>
          </w:p>
        </w:tc>
        <w:tc>
          <w:tcPr>
            <w:tcW w:w="1510" w:type="dxa"/>
            <w:vMerge w:val="restart"/>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530" w:type="dxa"/>
            <w:vMerge w:val="continue"/>
            <w:noWrap w:val="0"/>
            <w:vAlign w:val="center"/>
          </w:tcPr>
          <w:p>
            <w:pPr>
              <w:spacing w:line="560" w:lineRule="exact"/>
              <w:jc w:val="center"/>
              <w:rPr>
                <w:rFonts w:hint="default" w:ascii="Times New Roman" w:hAnsi="Times New Roman" w:eastAsia="仿宋_GB2312" w:cs="Times New Roman"/>
                <w:b/>
                <w:bCs/>
                <w:sz w:val="24"/>
              </w:rPr>
            </w:pPr>
          </w:p>
        </w:tc>
        <w:tc>
          <w:tcPr>
            <w:tcW w:w="1038" w:type="dxa"/>
            <w:vMerge w:val="continue"/>
            <w:noWrap w:val="0"/>
            <w:vAlign w:val="center"/>
          </w:tcPr>
          <w:p>
            <w:pPr>
              <w:spacing w:line="560" w:lineRule="exact"/>
              <w:jc w:val="center"/>
              <w:rPr>
                <w:rFonts w:hint="default" w:ascii="Times New Roman" w:hAnsi="Times New Roman" w:eastAsia="仿宋_GB2312" w:cs="Times New Roman"/>
                <w:b/>
                <w:bCs/>
                <w:sz w:val="24"/>
              </w:rPr>
            </w:pPr>
          </w:p>
        </w:tc>
        <w:tc>
          <w:tcPr>
            <w:tcW w:w="1039" w:type="dxa"/>
            <w:vMerge w:val="continue"/>
            <w:noWrap w:val="0"/>
            <w:vAlign w:val="center"/>
          </w:tcPr>
          <w:p>
            <w:pPr>
              <w:spacing w:line="560" w:lineRule="exact"/>
              <w:jc w:val="center"/>
              <w:rPr>
                <w:rFonts w:hint="default" w:ascii="Times New Roman" w:hAnsi="Times New Roman" w:eastAsia="仿宋_GB2312" w:cs="Times New Roman"/>
                <w:b/>
                <w:bCs/>
                <w:sz w:val="24"/>
              </w:rPr>
            </w:pPr>
          </w:p>
        </w:tc>
        <w:tc>
          <w:tcPr>
            <w:tcW w:w="1059" w:type="dxa"/>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059" w:type="dxa"/>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059" w:type="dxa"/>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061" w:type="dxa"/>
            <w:noWrap w:val="0"/>
            <w:vAlign w:val="center"/>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510" w:type="dxa"/>
            <w:vMerge w:val="continue"/>
            <w:noWrap w:val="0"/>
            <w:vAlign w:val="center"/>
          </w:tcPr>
          <w:p>
            <w:pPr>
              <w:spacing w:line="560" w:lineRule="exac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53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黄阁镇小虎</w:t>
            </w:r>
          </w:p>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经济联</w:t>
            </w:r>
            <w:r>
              <w:rPr>
                <w:rFonts w:hint="default" w:ascii="Times New Roman" w:hAnsi="Times New Roman" w:eastAsia="仿宋_GB2312" w:cs="Times New Roman"/>
                <w:sz w:val="24"/>
              </w:rPr>
              <w:t>合社</w:t>
            </w:r>
          </w:p>
        </w:tc>
        <w:tc>
          <w:tcPr>
            <w:tcW w:w="103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农用地</w:t>
            </w:r>
          </w:p>
        </w:tc>
        <w:tc>
          <w:tcPr>
            <w:tcW w:w="103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0.0107</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197.25</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 xml:space="preserve"> 2.1106</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197.25</w:t>
            </w:r>
          </w:p>
        </w:tc>
        <w:tc>
          <w:tcPr>
            <w:tcW w:w="106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 xml:space="preserve"> 2.1106</w:t>
            </w:r>
          </w:p>
        </w:tc>
        <w:tc>
          <w:tcPr>
            <w:tcW w:w="151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sz w:val="24"/>
                <w:lang w:val="en-US" w:eastAsia="zh-CN"/>
              </w:rPr>
              <w:t>4.2212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845" w:type="dxa"/>
            <w:gridSpan w:val="7"/>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土地补偿金和安置补偿费合计</w:t>
            </w:r>
          </w:p>
        </w:tc>
        <w:tc>
          <w:tcPr>
            <w:tcW w:w="15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4.2212</w:t>
            </w:r>
          </w:p>
        </w:tc>
      </w:tr>
    </w:tbl>
    <w:p>
      <w:pPr>
        <w:numPr>
          <w:ilvl w:val="0"/>
          <w:numId w:val="0"/>
        </w:numPr>
        <w:spacing w:beforeLines="5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涉及到房屋拆迁的，按照广州市南沙区人民政府有关规定的标准进行补偿安置。</w:t>
      </w:r>
    </w:p>
    <w:p>
      <w:pPr>
        <w:spacing w:line="560" w:lineRule="exact"/>
        <w:ind w:left="640"/>
        <w:rPr>
          <w:rFonts w:hint="default" w:ascii="黑体" w:hAnsi="黑体" w:eastAsia="黑体" w:cs="黑体"/>
          <w:sz w:val="32"/>
          <w:szCs w:val="32"/>
        </w:rPr>
      </w:pPr>
      <w:r>
        <w:rPr>
          <w:rFonts w:hint="default" w:ascii="黑体" w:hAnsi="黑体" w:eastAsia="黑体" w:cs="黑体"/>
          <w:sz w:val="32"/>
          <w:szCs w:val="32"/>
        </w:rPr>
        <w:t>三、青苗补偿费及地上附着物补偿费。</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征地范围内的青苗补偿费及地上附着物补偿费等其他补偿费用按政府有关规定进行补偿。</w:t>
      </w:r>
    </w:p>
    <w:p>
      <w:pPr>
        <w:spacing w:line="560" w:lineRule="exact"/>
        <w:ind w:left="640"/>
        <w:rPr>
          <w:rFonts w:hint="default" w:ascii="黑体" w:hAnsi="黑体" w:eastAsia="黑体" w:cs="黑体"/>
          <w:sz w:val="32"/>
          <w:szCs w:val="32"/>
        </w:rPr>
      </w:pPr>
      <w:r>
        <w:rPr>
          <w:rFonts w:hint="default" w:ascii="黑体" w:hAnsi="黑体" w:eastAsia="黑体" w:cs="黑体"/>
          <w:sz w:val="32"/>
          <w:szCs w:val="32"/>
        </w:rPr>
        <w:t>四、安置措施情况</w:t>
      </w:r>
    </w:p>
    <w:p>
      <w:p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为妥善安置被征地农民，切实解决被征地农民的生产生活出路，在保证货币安置落实的同时，按实际征地面积</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计算留用地给被征地村集体，留用地兑现方式为实地留地。</w:t>
      </w:r>
    </w:p>
    <w:p>
      <w:pPr>
        <w:spacing w:line="560" w:lineRule="exact"/>
        <w:ind w:firstLine="640"/>
        <w:jc w:val="right"/>
        <w:rPr>
          <w:rFonts w:hint="default" w:ascii="Times New Roman" w:hAnsi="Times New Roman" w:eastAsia="仿宋_GB2312" w:cs="Times New Roman"/>
          <w:sz w:val="32"/>
          <w:szCs w:val="32"/>
        </w:rPr>
      </w:pPr>
    </w:p>
    <w:p>
      <w:pPr>
        <w:spacing w:line="560" w:lineRule="exact"/>
        <w:ind w:firstLine="640"/>
        <w:jc w:val="right"/>
        <w:rPr>
          <w:rFonts w:hint="default" w:ascii="Times New Roman" w:hAnsi="Times New Roman" w:eastAsia="仿宋_GB2312" w:cs="Times New Roman"/>
          <w:sz w:val="32"/>
          <w:szCs w:val="32"/>
        </w:rPr>
      </w:pPr>
    </w:p>
    <w:p>
      <w:pPr>
        <w:spacing w:line="560" w:lineRule="exact"/>
        <w:ind w:firstLine="640"/>
        <w:jc w:val="right"/>
        <w:rPr>
          <w:rFonts w:hint="default" w:ascii="Times New Roman" w:hAnsi="Times New Roman" w:eastAsia="仿宋_GB2312" w:cs="Times New Roman"/>
          <w:sz w:val="32"/>
          <w:szCs w:val="32"/>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F0DD2"/>
    <w:rsid w:val="009451E3"/>
    <w:rsid w:val="06CB01F1"/>
    <w:rsid w:val="07AF4650"/>
    <w:rsid w:val="086D45A1"/>
    <w:rsid w:val="0CD04414"/>
    <w:rsid w:val="1645556B"/>
    <w:rsid w:val="16A346AF"/>
    <w:rsid w:val="172D443A"/>
    <w:rsid w:val="18E219B7"/>
    <w:rsid w:val="1FA66917"/>
    <w:rsid w:val="2476660C"/>
    <w:rsid w:val="264933B9"/>
    <w:rsid w:val="288F0DD2"/>
    <w:rsid w:val="34D273E6"/>
    <w:rsid w:val="35B61E7F"/>
    <w:rsid w:val="3AA975CF"/>
    <w:rsid w:val="3F7951D2"/>
    <w:rsid w:val="3F9E4C19"/>
    <w:rsid w:val="46756DB0"/>
    <w:rsid w:val="4BA34B8C"/>
    <w:rsid w:val="5085575E"/>
    <w:rsid w:val="50A54051"/>
    <w:rsid w:val="50B924D3"/>
    <w:rsid w:val="53E82F5F"/>
    <w:rsid w:val="568532F6"/>
    <w:rsid w:val="57D47B78"/>
    <w:rsid w:val="5A7E05D1"/>
    <w:rsid w:val="628A2D9D"/>
    <w:rsid w:val="664669D8"/>
    <w:rsid w:val="67B55FC0"/>
    <w:rsid w:val="683F5365"/>
    <w:rsid w:val="68DA7D6D"/>
    <w:rsid w:val="6A642950"/>
    <w:rsid w:val="6C654519"/>
    <w:rsid w:val="6CA13E84"/>
    <w:rsid w:val="762B3FB6"/>
    <w:rsid w:val="7EA9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614</Words>
  <Characters>744</Characters>
  <Lines>0</Lines>
  <Paragraphs>0</Paragraphs>
  <TotalTime>23</TotalTime>
  <ScaleCrop>false</ScaleCrop>
  <LinksUpToDate>false</LinksUpToDate>
  <CharactersWithSpaces>750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2023-03-29T03:18:00Z</dcterms:created>
  <dc:creator>李潇</dc:creator>
  <cp:lastModifiedBy>GHY-NSY</cp:lastModifiedBy>
  <dcterms:modified xsi:type="dcterms:W3CDTF">2023-12-08T08:55:29Z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7A8C7AE835A74EB89315CC120AA81FDF</vt:lpwstr>
  </property>
</Properties>
</file>