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08D23">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广州市花都区2025年度第二十二批次城镇建设用地（广州市花都区杨二村、东边村</w:t>
      </w:r>
    </w:p>
    <w:p w14:paraId="3ABCCEED">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城中村改造项目地块五〔低效用地〕）</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项目被征地农民养老保障方案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广州市花都区2025年度第二十二批次城镇建设用地（广州市花都区杨二村、东边村城中村改造项目地块五〔低效用地〕）</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广州市花都区2025年度第二十二批次城镇建设用地（广州市花都区杨二村、东边村城中村改造项目地块五〔低效用地〕）</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花城街杨二村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土地面积共273.5595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eastAsia="zh-CN" w:bidi="ar-SA"/>
        </w:rPr>
        <w:t>已于</w:t>
      </w:r>
      <w:r>
        <w:rPr>
          <w:rFonts w:hint="eastAsia" w:ascii="仿宋_GB2312" w:hAnsi="仿宋_GB2312" w:cs="仿宋_GB2312"/>
          <w:color w:val="auto"/>
          <w:kern w:val="2"/>
          <w:highlight w:val="none"/>
          <w:shd w:val="clear" w:color="auto" w:fill="auto"/>
          <w:lang w:val="en-US" w:eastAsia="zh-CN" w:bidi="ar-SA"/>
        </w:rPr>
        <w:t>2024年11月全部完成</w:t>
      </w:r>
      <w:r>
        <w:rPr>
          <w:rFonts w:hint="eastAsia" w:ascii="仿宋_GB2312" w:hAnsi="仿宋_GB2312" w:cs="仿宋_GB2312"/>
          <w:color w:val="auto"/>
          <w:highlight w:val="none"/>
        </w:rPr>
        <w:t>征地补偿安置协议签订</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585.45</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16</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07A9039E">
      <w:pPr>
        <w:rPr>
          <w:rFonts w:hint="eastAsia" w:ascii="黑体" w:hAnsi="黑体" w:eastAsia="黑体" w:cs="黑体"/>
        </w:rPr>
      </w:pPr>
    </w:p>
    <w:p w14:paraId="33F742BC">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40"/>
        <w:gridCol w:w="2880"/>
        <w:gridCol w:w="1740"/>
        <w:gridCol w:w="1635"/>
        <w:gridCol w:w="1611"/>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720"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3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40" w:type="dxa"/>
            <w:vMerge w:val="restart"/>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花城街</w:t>
            </w:r>
          </w:p>
        </w:tc>
        <w:tc>
          <w:tcPr>
            <w:tcW w:w="28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杨二村经济联合社</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23.3415</w:t>
            </w:r>
          </w:p>
        </w:tc>
        <w:tc>
          <w:tcPr>
            <w:tcW w:w="163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49.96</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40" w:type="dxa"/>
            <w:vMerge w:val="continue"/>
            <w:tcBorders>
              <w:right w:val="single" w:color="auto" w:sz="4" w:space="0"/>
            </w:tcBorders>
            <w:noWrap w:val="0"/>
            <w:vAlign w:val="center"/>
          </w:tcPr>
          <w:p w14:paraId="5E72ADCC">
            <w:pPr>
              <w:jc w:val="center"/>
              <w:rPr>
                <w:rFonts w:hint="eastAsia" w:ascii="仿宋_GB2312" w:hAnsi="仿宋_GB2312" w:eastAsia="仿宋_GB2312" w:cs="仿宋_GB2312"/>
                <w:kern w:val="0"/>
                <w:sz w:val="24"/>
                <w:szCs w:val="24"/>
              </w:rPr>
            </w:pPr>
          </w:p>
        </w:tc>
        <w:tc>
          <w:tcPr>
            <w:tcW w:w="28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杨二村草弄经济合作社</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26.7810</w:t>
            </w:r>
          </w:p>
        </w:tc>
        <w:tc>
          <w:tcPr>
            <w:tcW w:w="163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57.32</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40" w:type="dxa"/>
            <w:vMerge w:val="continue"/>
            <w:tcBorders>
              <w:right w:val="single" w:color="auto" w:sz="4" w:space="0"/>
            </w:tcBorders>
            <w:noWrap w:val="0"/>
            <w:vAlign w:val="center"/>
          </w:tcPr>
          <w:p w14:paraId="60A9CD56">
            <w:pPr>
              <w:jc w:val="center"/>
              <w:rPr>
                <w:rFonts w:hint="eastAsia" w:ascii="仿宋_GB2312" w:hAnsi="仿宋_GB2312" w:eastAsia="仿宋_GB2312" w:cs="仿宋_GB2312"/>
                <w:kern w:val="0"/>
                <w:sz w:val="24"/>
                <w:szCs w:val="24"/>
              </w:rPr>
            </w:pPr>
          </w:p>
        </w:tc>
        <w:tc>
          <w:tcPr>
            <w:tcW w:w="28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杨二村榕树经济合作社</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0.0315</w:t>
            </w:r>
          </w:p>
        </w:tc>
        <w:tc>
          <w:tcPr>
            <w:tcW w:w="163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0.07</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40" w:type="dxa"/>
            <w:vMerge w:val="continue"/>
            <w:tcBorders>
              <w:right w:val="single" w:color="auto" w:sz="4" w:space="0"/>
            </w:tcBorders>
            <w:noWrap w:val="0"/>
            <w:vAlign w:val="center"/>
          </w:tcPr>
          <w:p w14:paraId="693ED54A">
            <w:pPr>
              <w:jc w:val="center"/>
              <w:rPr>
                <w:rFonts w:hint="eastAsia" w:ascii="仿宋_GB2312" w:hAnsi="仿宋_GB2312" w:eastAsia="仿宋_GB2312" w:cs="仿宋_GB2312"/>
                <w:kern w:val="0"/>
                <w:sz w:val="24"/>
                <w:szCs w:val="24"/>
              </w:rPr>
            </w:pPr>
          </w:p>
        </w:tc>
        <w:tc>
          <w:tcPr>
            <w:tcW w:w="28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杨二村存心经济合作社</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7.0635</w:t>
            </w:r>
          </w:p>
        </w:tc>
        <w:tc>
          <w:tcPr>
            <w:tcW w:w="163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15.12</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40" w:type="dxa"/>
            <w:vMerge w:val="continue"/>
            <w:tcBorders>
              <w:right w:val="single" w:color="auto" w:sz="4" w:space="0"/>
            </w:tcBorders>
            <w:noWrap w:val="0"/>
            <w:vAlign w:val="center"/>
          </w:tcPr>
          <w:p w14:paraId="1E3EBCEC">
            <w:pPr>
              <w:jc w:val="center"/>
              <w:rPr>
                <w:rFonts w:hint="eastAsia" w:ascii="仿宋_GB2312" w:hAnsi="仿宋_GB2312" w:eastAsia="仿宋_GB2312" w:cs="仿宋_GB2312"/>
                <w:kern w:val="0"/>
                <w:sz w:val="24"/>
                <w:szCs w:val="24"/>
              </w:rPr>
            </w:pPr>
          </w:p>
        </w:tc>
        <w:tc>
          <w:tcPr>
            <w:tcW w:w="28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杨二村上头经济合作社、泗合经济合作社（共有）</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53EF9EC4">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2.8050</w:t>
            </w:r>
          </w:p>
        </w:tc>
        <w:tc>
          <w:tcPr>
            <w:tcW w:w="163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FC2A27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6.01</w:t>
            </w:r>
          </w:p>
        </w:tc>
      </w:tr>
      <w:tr w14:paraId="24A13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40" w:type="dxa"/>
            <w:vMerge w:val="continue"/>
            <w:tcBorders>
              <w:right w:val="single" w:color="auto" w:sz="4" w:space="0"/>
            </w:tcBorders>
            <w:noWrap w:val="0"/>
            <w:vAlign w:val="center"/>
          </w:tcPr>
          <w:p w14:paraId="2730243D">
            <w:pPr>
              <w:jc w:val="center"/>
              <w:rPr>
                <w:rFonts w:hint="eastAsia" w:ascii="仿宋_GB2312" w:hAnsi="仿宋_GB2312" w:eastAsia="仿宋_GB2312" w:cs="仿宋_GB2312"/>
                <w:kern w:val="0"/>
                <w:sz w:val="24"/>
                <w:szCs w:val="24"/>
              </w:rPr>
            </w:pPr>
          </w:p>
        </w:tc>
        <w:tc>
          <w:tcPr>
            <w:tcW w:w="28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B77CB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杨二村上头经济合作社、存心经济合作社、旗星经济合作社、榕树经济合作社、泗合经济合作社、瓦窑经济合作社、祥凤经济合作社、草弄经济合作社、邦和经济合作社（共有）</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1C41CF54">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213.5370</w:t>
            </w:r>
          </w:p>
        </w:tc>
        <w:tc>
          <w:tcPr>
            <w:tcW w:w="163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CADE4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bookmarkStart w:id="0" w:name="_GoBack"/>
            <w:bookmarkEnd w:id="0"/>
          </w:p>
        </w:tc>
        <w:tc>
          <w:tcPr>
            <w:tcW w:w="1611" w:type="dxa"/>
            <w:tcBorders>
              <w:top w:val="single" w:color="auto" w:sz="4" w:space="0"/>
              <w:left w:val="single" w:color="auto" w:sz="4" w:space="0"/>
              <w:bottom w:val="single" w:color="auto" w:sz="4" w:space="0"/>
              <w:right w:val="single" w:color="auto" w:sz="4" w:space="0"/>
            </w:tcBorders>
            <w:noWrap w:val="0"/>
            <w:vAlign w:val="center"/>
          </w:tcPr>
          <w:p w14:paraId="0CDD0A69">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456.97</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720"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273.5595</w:t>
            </w:r>
          </w:p>
        </w:tc>
        <w:tc>
          <w:tcPr>
            <w:tcW w:w="163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585.45</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A420699"/>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0035B83"/>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2025-05-16T02:41:37Z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ADF0FC926305434AA65EB0DF5EB15936_13</vt:lpwstr>
  </property>
</Properties>
</file>