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Times New Roman" w:hAnsi="Times New Roman" w:eastAsia="方正小标宋简体" w:cs="Times New Roman"/>
          <w:snapToGrid/>
          <w:kern w:val="2"/>
          <w:sz w:val="30"/>
          <w:szCs w:val="30"/>
          <w:lang w:val="en-US" w:eastAsia="zh-CN"/>
        </w:rPr>
      </w:pPr>
      <w:r>
        <w:rPr>
          <w:rFonts w:hint="eastAsia" w:ascii="Times New Roman" w:hAnsi="Times New Roman" w:eastAsia="方正小标宋简体" w:cs="Times New Roman"/>
          <w:snapToGrid/>
          <w:kern w:val="2"/>
          <w:sz w:val="30"/>
          <w:szCs w:val="30"/>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napToGrid/>
          <w:kern w:val="2"/>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广州市南沙区2025年度第二十九批次城镇建设用地项目被征地农民养老保障方案</w:t>
      </w:r>
    </w:p>
    <w:p>
      <w:pPr>
        <w:pStyle w:val="2"/>
        <w:spacing w:line="278" w:lineRule="auto"/>
        <w:rPr>
          <w:rFonts w:ascii="Times New Roman" w:hAnsi="Times New Roman" w:cs="Times New Roman"/>
        </w:rPr>
      </w:pPr>
    </w:p>
    <w:p>
      <w:pPr>
        <w:pStyle w:val="2"/>
        <w:spacing w:line="279" w:lineRule="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2025年度第二十</w:t>
      </w:r>
      <w:r>
        <w:rPr>
          <w:rFonts w:hint="default" w:ascii="Times New Roman" w:hAnsi="Times New Roman" w:eastAsia="仿宋_GB2312" w:cs="Times New Roman"/>
          <w:snapToGrid/>
          <w:kern w:val="2"/>
          <w:sz w:val="32"/>
          <w:szCs w:val="32"/>
          <w:lang w:val="en-US" w:eastAsia="zh-CN"/>
        </w:rPr>
        <w:t>九</w:t>
      </w:r>
      <w:r>
        <w:rPr>
          <w:rFonts w:hint="default" w:ascii="Times New Roman" w:hAnsi="Times New Roman" w:eastAsia="仿宋_GB2312" w:cs="Times New Roman"/>
          <w:snapToGrid/>
          <w:kern w:val="2"/>
          <w:sz w:val="32"/>
          <w:szCs w:val="32"/>
          <w:lang w:eastAsia="zh-CN"/>
        </w:rPr>
        <w:t>批次城镇建设用地项目被征地农民养老保障方案如下：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一、对广州市南沙区2025年度第二十</w:t>
      </w:r>
      <w:r>
        <w:rPr>
          <w:rFonts w:hint="default" w:ascii="Times New Roman" w:hAnsi="Times New Roman" w:eastAsia="仿宋_GB2312" w:cs="Times New Roman"/>
          <w:snapToGrid/>
          <w:kern w:val="2"/>
          <w:sz w:val="32"/>
          <w:szCs w:val="32"/>
          <w:lang w:val="en-US" w:eastAsia="zh-CN"/>
        </w:rPr>
        <w:t>九</w:t>
      </w:r>
      <w:r>
        <w:rPr>
          <w:rFonts w:hint="default" w:ascii="Times New Roman" w:hAnsi="Times New Roman" w:eastAsia="仿宋_GB2312" w:cs="Times New Roman"/>
          <w:snapToGrid/>
          <w:kern w:val="2"/>
          <w:sz w:val="32"/>
          <w:szCs w:val="32"/>
          <w:lang w:eastAsia="zh-CN"/>
        </w:rPr>
        <w:t>批次城镇建设用地项目涉及的被征地农民实施社会养老保障。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二、征地社保费筹集。依据</w:t>
      </w:r>
      <w:r>
        <w:rPr>
          <w:rFonts w:hint="default" w:ascii="Times New Roman" w:hAnsi="Times New Roman" w:eastAsia="仿宋_GB2312" w:cs="Times New Roman"/>
          <w:snapToGrid/>
          <w:kern w:val="2"/>
          <w:sz w:val="32"/>
          <w:szCs w:val="32"/>
          <w:highlight w:val="none"/>
          <w:lang w:eastAsia="zh-CN"/>
        </w:rPr>
        <w:t>广州南沙经济技术开发区建设和交通局</w:t>
      </w:r>
      <w:r>
        <w:rPr>
          <w:rFonts w:hint="default" w:ascii="Times New Roman" w:hAnsi="Times New Roman" w:eastAsia="仿宋_GB2312" w:cs="Times New Roman"/>
          <w:snapToGrid/>
          <w:kern w:val="2"/>
          <w:sz w:val="32"/>
          <w:szCs w:val="32"/>
          <w:highlight w:val="none"/>
          <w:lang w:val="en-US" w:eastAsia="zh-CN"/>
        </w:rPr>
        <w:t>提供情况，该项目征</w:t>
      </w:r>
      <w:r>
        <w:rPr>
          <w:rFonts w:hint="default" w:ascii="Times New Roman" w:hAnsi="Times New Roman" w:eastAsia="仿宋_GB2312" w:cs="Times New Roman"/>
          <w:snapToGrid/>
          <w:kern w:val="2"/>
          <w:sz w:val="32"/>
          <w:szCs w:val="32"/>
          <w:lang w:val="en-US" w:eastAsia="zh-CN"/>
        </w:rPr>
        <w:t>收我区港湾街鹿颈股份合作经济联合社土地面积共0.897亩，其中0亩</w:t>
      </w:r>
      <w:r>
        <w:rPr>
          <w:rFonts w:hint="default" w:ascii="Times New Roman" w:hAnsi="Times New Roman" w:eastAsia="仿宋_GB2312" w:cs="Times New Roman"/>
          <w:snapToGrid/>
          <w:kern w:val="2"/>
          <w:sz w:val="32"/>
          <w:szCs w:val="32"/>
          <w:lang w:eastAsia="zh-CN"/>
        </w:rPr>
        <w:t>属于农村集体经济组织留用地，征地双方于</w:t>
      </w:r>
      <w:r>
        <w:rPr>
          <w:rFonts w:hint="default" w:ascii="Times New Roman" w:hAnsi="Times New Roman" w:eastAsia="仿宋_GB2312" w:cs="Times New Roman"/>
          <w:snapToGrid/>
          <w:kern w:val="2"/>
          <w:sz w:val="32"/>
          <w:szCs w:val="32"/>
          <w:lang w:val="en-US" w:eastAsia="zh-CN"/>
        </w:rPr>
        <w:t>2023</w:t>
      </w:r>
      <w:r>
        <w:rPr>
          <w:rFonts w:hint="default" w:ascii="Times New Roman" w:hAnsi="Times New Roman" w:eastAsia="仿宋_GB2312" w:cs="Times New Roman"/>
          <w:snapToGrid/>
          <w:kern w:val="2"/>
          <w:sz w:val="32"/>
          <w:szCs w:val="32"/>
          <w:lang w:eastAsia="zh-CN"/>
        </w:rPr>
        <w:t>年</w:t>
      </w:r>
      <w:r>
        <w:rPr>
          <w:rFonts w:hint="default" w:ascii="Times New Roman" w:hAnsi="Times New Roman" w:eastAsia="仿宋_GB2312" w:cs="Times New Roman"/>
          <w:snapToGrid/>
          <w:kern w:val="2"/>
          <w:sz w:val="32"/>
          <w:szCs w:val="32"/>
          <w:lang w:val="en-US" w:eastAsia="zh-CN"/>
        </w:rPr>
        <w:t>4</w:t>
      </w:r>
      <w:r>
        <w:rPr>
          <w:rFonts w:hint="default" w:ascii="Times New Roman" w:hAnsi="Times New Roman" w:eastAsia="仿宋_GB2312" w:cs="Times New Roman"/>
          <w:snapToGrid/>
          <w:kern w:val="2"/>
          <w:sz w:val="32"/>
          <w:szCs w:val="32"/>
          <w:lang w:eastAsia="zh-CN"/>
        </w:rPr>
        <w:t>月完成征地补偿安置协议。我区每亩平均征收农用地综合区片地价26.3万元/亩，征地社保费计提标准为2.90万元/亩(按26.3万元/亩的11%计算),其中</w:t>
      </w:r>
      <w:r>
        <w:rPr>
          <w:rFonts w:hint="default" w:ascii="Times New Roman" w:hAnsi="Times New Roman" w:eastAsia="仿宋_GB2312" w:cs="Times New Roman"/>
          <w:snapToGrid/>
          <w:kern w:val="2"/>
          <w:sz w:val="32"/>
          <w:szCs w:val="32"/>
          <w:lang w:val="en-US" w:eastAsia="zh-CN"/>
        </w:rPr>
        <w:t>0</w:t>
      </w:r>
      <w:r>
        <w:rPr>
          <w:rFonts w:hint="default" w:ascii="Times New Roman" w:hAnsi="Times New Roman" w:eastAsia="仿宋_GB2312" w:cs="Times New Roman"/>
          <w:snapToGrid/>
          <w:kern w:val="2"/>
          <w:sz w:val="32"/>
          <w:szCs w:val="32"/>
          <w:lang w:eastAsia="zh-CN"/>
        </w:rPr>
        <w:t>亩属于农村集体经济组织留用地，按规定不计提征地社保费，需计提</w:t>
      </w:r>
      <w:r>
        <w:rPr>
          <w:rFonts w:hint="default" w:ascii="Times New Roman" w:hAnsi="Times New Roman" w:eastAsia="仿宋_GB2312" w:cs="Times New Roman"/>
          <w:snapToGrid/>
          <w:kern w:val="2"/>
          <w:sz w:val="32"/>
          <w:szCs w:val="32"/>
          <w:highlight w:val="none"/>
          <w:lang w:eastAsia="zh-CN"/>
        </w:rPr>
        <w:t>资金共</w:t>
      </w:r>
      <w:r>
        <w:rPr>
          <w:rFonts w:hint="default" w:ascii="Times New Roman" w:hAnsi="Times New Roman" w:eastAsia="仿宋_GB2312" w:cs="Times New Roman"/>
          <w:snapToGrid/>
          <w:kern w:val="2"/>
          <w:sz w:val="32"/>
          <w:szCs w:val="32"/>
          <w:highlight w:val="none"/>
          <w:lang w:val="en-US" w:eastAsia="zh-CN"/>
        </w:rPr>
        <w:t>2.61</w:t>
      </w:r>
      <w:r>
        <w:rPr>
          <w:rFonts w:hint="default" w:ascii="Times New Roman" w:hAnsi="Times New Roman" w:eastAsia="仿宋_GB2312" w:cs="Times New Roman"/>
          <w:snapToGrid/>
          <w:kern w:val="2"/>
          <w:sz w:val="32"/>
          <w:szCs w:val="32"/>
          <w:highlight w:val="none"/>
          <w:lang w:eastAsia="zh-CN"/>
        </w:rPr>
        <w:t>万</w:t>
      </w:r>
      <w:r>
        <w:rPr>
          <w:rFonts w:hint="default" w:ascii="Times New Roman" w:hAnsi="Times New Roman" w:eastAsia="仿宋_GB2312" w:cs="Times New Roman"/>
          <w:snapToGrid/>
          <w:kern w:val="2"/>
          <w:sz w:val="32"/>
          <w:szCs w:val="32"/>
          <w:lang w:eastAsia="zh-CN"/>
        </w:rPr>
        <w:t>元由征地主体(用地单位)一次性预存入我区人力资源社会保障部门开设的“收缴被征地农民养老保障资金过渡户”,计入征地成本，纳入工程项目概算。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三、征地社保费补贴对象。按“筹集资金分配到户，户内平均分配到人”的基本原则确定征地社保补贴对象。享有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四、征地社保费发放。一是征地社保费与征地安置补偿费同期拨付。征地实施部门在拟发放征地安置补助费时，应告知同级人力资源社会保障部门和征地项目所在街道办事处。街道办事处牵头组织被征地农户在15个工作日内按时提供具体参保人员名单和分配金额。被征地农户未按时提供的，由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附件：征收土地及养老保障情况表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广州市南沙区人民政府港湾街道办事处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 xml:space="preserve">              2025年6月</w:t>
      </w:r>
      <w:r>
        <w:rPr>
          <w:rFonts w:hint="eastAsia" w:ascii="Times New Roman" w:hAnsi="Times New Roman" w:eastAsia="仿宋_GB2312" w:cs="Times New Roman"/>
          <w:snapToGrid/>
          <w:kern w:val="2"/>
          <w:sz w:val="32"/>
          <w:szCs w:val="32"/>
          <w:lang w:val="en-US" w:eastAsia="zh-CN"/>
        </w:rPr>
        <w:t>30</w:t>
      </w:r>
      <w:r>
        <w:rPr>
          <w:rFonts w:hint="default" w:ascii="Times New Roman" w:hAnsi="Times New Roman" w:eastAsia="仿宋_GB2312" w:cs="Times New Roman"/>
          <w:snapToGrid/>
          <w:kern w:val="2"/>
          <w:sz w:val="32"/>
          <w:szCs w:val="32"/>
          <w:lang w:val="en-US" w:eastAsia="zh-CN"/>
        </w:rPr>
        <w:t>日</w:t>
      </w:r>
    </w:p>
    <w:p>
      <w:pPr>
        <w:pStyle w:val="2"/>
        <w:spacing w:line="279" w:lineRule="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 xml:space="preserve">   </w:t>
      </w: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spacing w:before="107" w:line="224" w:lineRule="auto"/>
        <w:ind w:left="199"/>
        <w:rPr>
          <w:rFonts w:ascii="Times New Roman" w:hAnsi="Times New Roman" w:eastAsia="黑体" w:cs="Times New Roman"/>
          <w:sz w:val="33"/>
          <w:szCs w:val="33"/>
        </w:rPr>
      </w:pPr>
      <w:r>
        <w:rPr>
          <w:rFonts w:hint="default" w:ascii="Times New Roman" w:hAnsi="Times New Roman" w:eastAsia="方正小标宋简体" w:cs="Times New Roman"/>
          <w:b w:val="0"/>
          <w:bCs w:val="0"/>
          <w:spacing w:val="24"/>
          <w:sz w:val="32"/>
          <w:szCs w:val="32"/>
        </w:rPr>
        <w:t>附件</w:t>
      </w:r>
    </w:p>
    <w:p>
      <w:pPr>
        <w:pStyle w:val="2"/>
        <w:spacing w:line="363" w:lineRule="auto"/>
        <w:rPr>
          <w:rFonts w:ascii="Times New Roman" w:hAnsi="Times New Roman" w:cs="Times New Roman"/>
        </w:rPr>
      </w:pPr>
    </w:p>
    <w:p>
      <w:pPr>
        <w:spacing w:before="143" w:line="219" w:lineRule="auto"/>
        <w:ind w:left="163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征收土地及养老保障情况表</w:t>
      </w:r>
    </w:p>
    <w:p>
      <w:pPr>
        <w:spacing w:before="143" w:line="219" w:lineRule="auto"/>
        <w:ind w:left="1631"/>
        <w:rPr>
          <w:rFonts w:hint="default" w:ascii="Times New Roman" w:hAnsi="Times New Roman" w:eastAsia="方正小标宋简体" w:cs="Times New Roman"/>
          <w:b w:val="0"/>
          <w:bCs w:val="0"/>
          <w:sz w:val="44"/>
          <w:szCs w:val="44"/>
        </w:rPr>
      </w:pPr>
    </w:p>
    <w:p>
      <w:pPr>
        <w:spacing w:line="26" w:lineRule="exact"/>
        <w:rPr>
          <w:rFonts w:hint="default" w:ascii="Times New Roman" w:hAnsi="Times New Roman" w:eastAsia="仿宋_GB2312" w:cs="Times New Roman"/>
        </w:rPr>
      </w:pPr>
    </w:p>
    <w:p>
      <w:pPr>
        <w:spacing w:line="26" w:lineRule="exact"/>
        <w:rPr>
          <w:rFonts w:hint="default" w:ascii="Times New Roman" w:hAnsi="Times New Roman" w:eastAsia="仿宋_GB2312" w:cs="Times New Roman"/>
        </w:rPr>
      </w:pPr>
    </w:p>
    <w:tbl>
      <w:tblPr>
        <w:tblStyle w:val="6"/>
        <w:tblW w:w="8761"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992"/>
        <w:gridCol w:w="1877"/>
        <w:gridCol w:w="1969"/>
        <w:gridCol w:w="2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jc w:val="right"/>
        </w:trPr>
        <w:tc>
          <w:tcPr>
            <w:tcW w:w="2830" w:type="dxa"/>
            <w:gridSpan w:val="2"/>
            <w:vAlign w:val="center"/>
          </w:tcPr>
          <w:p>
            <w:pPr>
              <w:pStyle w:val="7"/>
              <w:spacing w:line="240" w:lineRule="auto"/>
              <w:ind w:lef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被征地单位</w:t>
            </w:r>
          </w:p>
        </w:tc>
        <w:tc>
          <w:tcPr>
            <w:tcW w:w="1877" w:type="dxa"/>
            <w:vAlign w:val="center"/>
          </w:tcPr>
          <w:p>
            <w:pPr>
              <w:pStyle w:val="7"/>
              <w:spacing w:before="78" w:line="219" w:lineRule="auto"/>
              <w:jc w:val="cente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2"/>
                <w:sz w:val="32"/>
                <w:szCs w:val="32"/>
              </w:rPr>
              <w:t>征收土地面积</w:t>
            </w:r>
            <w:r>
              <w:rPr>
                <w:rFonts w:hint="eastAsia" w:ascii="Times New Roman" w:hAnsi="Times New Roman" w:eastAsia="仿宋_GB2312" w:cs="Times New Roman"/>
                <w:spacing w:val="2"/>
                <w:sz w:val="32"/>
                <w:szCs w:val="32"/>
                <w:lang w:eastAsia="zh-CN"/>
              </w:rPr>
              <w:t>（</w:t>
            </w:r>
            <w:r>
              <w:rPr>
                <w:rFonts w:hint="eastAsia" w:ascii="Times New Roman" w:hAnsi="Times New Roman" w:eastAsia="仿宋_GB2312" w:cs="Times New Roman"/>
                <w:spacing w:val="2"/>
                <w:sz w:val="32"/>
                <w:szCs w:val="32"/>
                <w:lang w:val="en-US" w:eastAsia="zh-CN"/>
              </w:rPr>
              <w:t>亩</w:t>
            </w:r>
            <w:r>
              <w:rPr>
                <w:rFonts w:hint="eastAsia" w:ascii="Times New Roman" w:hAnsi="Times New Roman" w:eastAsia="仿宋_GB2312" w:cs="Times New Roman"/>
                <w:spacing w:val="2"/>
                <w:sz w:val="32"/>
                <w:szCs w:val="32"/>
                <w:lang w:eastAsia="zh-CN"/>
              </w:rPr>
              <w:t>）</w:t>
            </w:r>
          </w:p>
        </w:tc>
        <w:tc>
          <w:tcPr>
            <w:tcW w:w="1969" w:type="dxa"/>
            <w:vAlign w:val="center"/>
          </w:tcPr>
          <w:p>
            <w:pPr>
              <w:pStyle w:val="7"/>
              <w:spacing w:before="105" w:line="219"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其中属于被</w:t>
            </w:r>
            <w:r>
              <w:rPr>
                <w:rFonts w:hint="default" w:ascii="Times New Roman" w:hAnsi="Times New Roman" w:eastAsia="仿宋_GB2312" w:cs="Times New Roman"/>
                <w:spacing w:val="4"/>
                <w:sz w:val="32"/>
                <w:szCs w:val="32"/>
              </w:rPr>
              <w:t>征地单位留</w:t>
            </w:r>
            <w:r>
              <w:rPr>
                <w:rFonts w:hint="default" w:ascii="Times New Roman" w:hAnsi="Times New Roman" w:eastAsia="仿宋_GB2312" w:cs="Times New Roman"/>
                <w:spacing w:val="3"/>
                <w:sz w:val="32"/>
                <w:szCs w:val="32"/>
              </w:rPr>
              <w:t>用地面积</w:t>
            </w:r>
            <w:r>
              <w:rPr>
                <w:rFonts w:hint="eastAsia" w:ascii="Times New Roman" w:hAnsi="Times New Roman" w:eastAsia="仿宋_GB2312" w:cs="Times New Roman"/>
                <w:spacing w:val="2"/>
                <w:sz w:val="32"/>
                <w:szCs w:val="32"/>
                <w:lang w:eastAsia="zh-CN"/>
              </w:rPr>
              <w:t>（</w:t>
            </w:r>
            <w:r>
              <w:rPr>
                <w:rFonts w:hint="eastAsia" w:ascii="Times New Roman" w:hAnsi="Times New Roman" w:eastAsia="仿宋_GB2312" w:cs="Times New Roman"/>
                <w:spacing w:val="2"/>
                <w:sz w:val="32"/>
                <w:szCs w:val="32"/>
                <w:lang w:val="en-US" w:eastAsia="zh-CN"/>
              </w:rPr>
              <w:t>亩</w:t>
            </w:r>
            <w:r>
              <w:rPr>
                <w:rFonts w:hint="eastAsia" w:ascii="Times New Roman" w:hAnsi="Times New Roman" w:eastAsia="仿宋_GB2312" w:cs="Times New Roman"/>
                <w:spacing w:val="2"/>
                <w:sz w:val="32"/>
                <w:szCs w:val="32"/>
                <w:lang w:eastAsia="zh-CN"/>
              </w:rPr>
              <w:t>）</w:t>
            </w:r>
          </w:p>
        </w:tc>
        <w:tc>
          <w:tcPr>
            <w:tcW w:w="2085" w:type="dxa"/>
            <w:vAlign w:val="center"/>
          </w:tcPr>
          <w:p>
            <w:pPr>
              <w:pStyle w:val="7"/>
              <w:spacing w:before="244" w:line="257" w:lineRule="auto"/>
              <w:ind w:right="75"/>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需计提征地社保</w:t>
            </w:r>
            <w:r>
              <w:rPr>
                <w:rFonts w:hint="default" w:ascii="Times New Roman" w:hAnsi="Times New Roman" w:eastAsia="仿宋_GB2312" w:cs="Times New Roman"/>
                <w:sz w:val="32"/>
                <w:szCs w:val="32"/>
              </w:rPr>
              <w:t>费</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万元</w:t>
            </w:r>
            <w:r>
              <w:rPr>
                <w:rFonts w:hint="eastAsia" w:ascii="Times New Roman" w:hAnsi="Times New Roman" w:eastAsia="仿宋_GB2312" w:cs="Times New Roman"/>
                <w:spacing w:val="2"/>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right"/>
        </w:trPr>
        <w:tc>
          <w:tcPr>
            <w:tcW w:w="838" w:type="dxa"/>
            <w:vAlign w:val="center"/>
          </w:tcPr>
          <w:p>
            <w:pPr>
              <w:pStyle w:val="7"/>
              <w:spacing w:before="78" w:line="219"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lang w:val="en-US" w:eastAsia="zh-CN"/>
              </w:rPr>
              <w:t>港湾</w:t>
            </w:r>
            <w:r>
              <w:rPr>
                <w:rFonts w:hint="default" w:ascii="Times New Roman" w:hAnsi="Times New Roman" w:eastAsia="仿宋_GB2312" w:cs="Times New Roman"/>
                <w:spacing w:val="1"/>
                <w:sz w:val="32"/>
                <w:szCs w:val="32"/>
              </w:rPr>
              <w:t>街</w:t>
            </w:r>
          </w:p>
        </w:tc>
        <w:tc>
          <w:tcPr>
            <w:tcW w:w="1992" w:type="dxa"/>
            <w:vAlign w:val="center"/>
          </w:tcPr>
          <w:p>
            <w:pPr>
              <w:pStyle w:val="7"/>
              <w:spacing w:before="17" w:line="215"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lang w:eastAsia="zh-CN"/>
              </w:rPr>
              <w:t>鹿颈股份合作经济联合社</w:t>
            </w:r>
          </w:p>
        </w:tc>
        <w:tc>
          <w:tcPr>
            <w:tcW w:w="1877" w:type="dxa"/>
            <w:vAlign w:val="center"/>
          </w:tcPr>
          <w:p>
            <w:pPr>
              <w:bidi w:val="0"/>
              <w:jc w:val="center"/>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0.897</w:t>
            </w:r>
          </w:p>
        </w:tc>
        <w:tc>
          <w:tcPr>
            <w:tcW w:w="1969"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bidi="ar-SA"/>
              </w:rPr>
              <w:t>0</w:t>
            </w:r>
          </w:p>
        </w:tc>
        <w:tc>
          <w:tcPr>
            <w:tcW w:w="2085"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right"/>
        </w:trPr>
        <w:tc>
          <w:tcPr>
            <w:tcW w:w="2830" w:type="dxa"/>
            <w:gridSpan w:val="2"/>
            <w:vAlign w:val="center"/>
          </w:tcPr>
          <w:p>
            <w:pPr>
              <w:pStyle w:val="7"/>
              <w:spacing w:before="280" w:line="221"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合计</w:t>
            </w:r>
          </w:p>
        </w:tc>
        <w:tc>
          <w:tcPr>
            <w:tcW w:w="1877" w:type="dxa"/>
            <w:vAlign w:val="center"/>
          </w:tcPr>
          <w:p>
            <w:pPr>
              <w:bidi w:val="0"/>
              <w:jc w:val="center"/>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0.897</w:t>
            </w:r>
          </w:p>
        </w:tc>
        <w:tc>
          <w:tcPr>
            <w:tcW w:w="1969" w:type="dxa"/>
            <w:vAlign w:val="center"/>
          </w:tcPr>
          <w:p>
            <w:pPr>
              <w:jc w:val="center"/>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0</w:t>
            </w:r>
          </w:p>
        </w:tc>
        <w:tc>
          <w:tcPr>
            <w:tcW w:w="2085" w:type="dxa"/>
            <w:vAlign w:val="center"/>
          </w:tcPr>
          <w:p>
            <w:pPr>
              <w:jc w:val="center"/>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1</w:t>
            </w:r>
          </w:p>
        </w:tc>
      </w:tr>
    </w:tbl>
    <w:p>
      <w:pPr>
        <w:keepNext w:val="0"/>
        <w:keepLines w:val="0"/>
        <w:pageBreakBefore w:val="0"/>
        <w:widowControl/>
        <w:kinsoku w:val="0"/>
        <w:wordWrap/>
        <w:overflowPunct/>
        <w:topLinePunct w:val="0"/>
        <w:autoSpaceDE w:val="0"/>
        <w:autoSpaceDN w:val="0"/>
        <w:bidi w:val="0"/>
        <w:adjustRightInd w:val="0"/>
        <w:snapToGrid w:val="0"/>
        <w:spacing w:line="209" w:lineRule="auto"/>
        <w:textAlignment w:val="baseline"/>
        <w:rPr>
          <w:rFonts w:hint="default" w:ascii="Times New Roman" w:hAnsi="Times New Roman" w:eastAsia="仿宋_GB2312" w:cs="Times New Roman"/>
          <w:spacing w:val="-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09" w:lineRule="auto"/>
        <w:textAlignment w:val="baseline"/>
        <w:rPr>
          <w:rFonts w:hint="default" w:ascii="Times New Roman" w:hAnsi="Times New Roman" w:eastAsia="仿宋_GB2312" w:cs="Times New Roman"/>
          <w:spacing w:val="-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888" w:hanging="888" w:hangingChars="3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pacing w:val="-2"/>
          <w:sz w:val="30"/>
          <w:szCs w:val="30"/>
        </w:rPr>
        <w:t>说明：1</w:t>
      </w:r>
      <w:r>
        <w:rPr>
          <w:rFonts w:hint="eastAsia" w:ascii="Times New Roman" w:hAnsi="Times New Roman" w:eastAsia="仿宋_GB2312" w:cs="Times New Roman"/>
          <w:spacing w:val="-2"/>
          <w:sz w:val="30"/>
          <w:szCs w:val="30"/>
          <w:lang w:val="en-US" w:eastAsia="zh-CN"/>
        </w:rPr>
        <w:t>.</w:t>
      </w:r>
      <w:r>
        <w:rPr>
          <w:rFonts w:hint="default" w:ascii="Times New Roman" w:hAnsi="Times New Roman" w:eastAsia="仿宋_GB2312" w:cs="Times New Roman"/>
          <w:spacing w:val="-2"/>
          <w:sz w:val="30"/>
          <w:szCs w:val="30"/>
        </w:rPr>
        <w:t>征地社保费计提标准</w:t>
      </w:r>
      <w:r>
        <w:rPr>
          <w:rFonts w:hint="default" w:ascii="Times New Roman" w:hAnsi="Times New Roman" w:eastAsia="仿宋_GB2312" w:cs="Times New Roman"/>
          <w:spacing w:val="-2"/>
          <w:sz w:val="30"/>
          <w:szCs w:val="30"/>
          <w:lang w:eastAsia="zh-CN"/>
        </w:rPr>
        <w:t>2</w:t>
      </w:r>
      <w:r>
        <w:rPr>
          <w:rFonts w:hint="default" w:ascii="Times New Roman" w:hAnsi="Times New Roman" w:eastAsia="仿宋_GB2312" w:cs="Times New Roman"/>
          <w:spacing w:val="-2"/>
          <w:sz w:val="30"/>
          <w:szCs w:val="30"/>
          <w:lang w:val="en-US" w:eastAsia="zh-CN"/>
        </w:rPr>
        <w:t>.90</w:t>
      </w:r>
      <w:r>
        <w:rPr>
          <w:rFonts w:hint="default" w:ascii="Times New Roman" w:hAnsi="Times New Roman" w:eastAsia="仿宋_GB2312" w:cs="Times New Roman"/>
          <w:spacing w:val="-2"/>
          <w:sz w:val="30"/>
          <w:szCs w:val="30"/>
        </w:rPr>
        <w:t>万元/亩，征地社保费计算结果向上取整</w:t>
      </w:r>
      <w:r>
        <w:rPr>
          <w:rFonts w:hint="default" w:ascii="Times New Roman" w:hAnsi="Times New Roman" w:eastAsia="仿宋_GB2312" w:cs="Times New Roman"/>
          <w:spacing w:val="-3"/>
          <w:sz w:val="30"/>
          <w:szCs w:val="30"/>
        </w:rPr>
        <w:t>，精确到百元。</w:t>
      </w:r>
    </w:p>
    <w:p>
      <w:pPr>
        <w:keepNext w:val="0"/>
        <w:keepLines w:val="0"/>
        <w:pageBreakBefore w:val="0"/>
        <w:widowControl/>
        <w:kinsoku w:val="0"/>
        <w:wordWrap/>
        <w:overflowPunct/>
        <w:topLinePunct w:val="0"/>
        <w:autoSpaceDE w:val="0"/>
        <w:autoSpaceDN w:val="0"/>
        <w:bidi w:val="0"/>
        <w:adjustRightInd w:val="0"/>
        <w:snapToGrid w:val="0"/>
        <w:spacing w:before="42" w:line="500" w:lineRule="exact"/>
        <w:ind w:left="895" w:leftChars="426" w:firstLine="0" w:firstLineChars="0"/>
        <w:jc w:val="both"/>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pacing w:val="1"/>
          <w:sz w:val="30"/>
          <w:szCs w:val="30"/>
        </w:rPr>
        <w:t>2</w:t>
      </w:r>
      <w:r>
        <w:rPr>
          <w:rFonts w:hint="eastAsia" w:ascii="Times New Roman" w:hAnsi="Times New Roman" w:eastAsia="仿宋_GB2312" w:cs="Times New Roman"/>
          <w:spacing w:val="-2"/>
          <w:sz w:val="30"/>
          <w:szCs w:val="30"/>
          <w:lang w:val="en-US" w:eastAsia="zh-CN"/>
        </w:rPr>
        <w:t>.</w:t>
      </w:r>
      <w:r>
        <w:rPr>
          <w:rFonts w:hint="default" w:ascii="Times New Roman" w:hAnsi="Times New Roman" w:eastAsia="仿宋_GB2312" w:cs="Times New Roman"/>
          <w:spacing w:val="1"/>
          <w:sz w:val="30"/>
          <w:szCs w:val="30"/>
        </w:rPr>
        <w:t>被征收土地属于农村集体经济组织留用地的，不计提征地社保</w:t>
      </w:r>
      <w:r>
        <w:rPr>
          <w:rFonts w:hint="default" w:ascii="Times New Roman" w:hAnsi="Times New Roman" w:eastAsia="仿宋_GB2312" w:cs="Times New Roman"/>
          <w:spacing w:val="1"/>
          <w:sz w:val="30"/>
          <w:szCs w:val="30"/>
          <w:lang w:val="en-US" w:eastAsia="zh-CN"/>
        </w:rPr>
        <w:t>费。</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13941"/>
    <w:rsid w:val="03491513"/>
    <w:rsid w:val="12960150"/>
    <w:rsid w:val="1E94465C"/>
    <w:rsid w:val="22412273"/>
    <w:rsid w:val="35D07049"/>
    <w:rsid w:val="41213941"/>
    <w:rsid w:val="45C62E19"/>
    <w:rsid w:val="4F3A1EAE"/>
    <w:rsid w:val="51C85373"/>
    <w:rsid w:val="56AA301C"/>
    <w:rsid w:val="6010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1184</Words>
  <Characters>1244</Characters>
  <Lines>0</Lines>
  <Paragraphs>0</Paragraphs>
  <TotalTime>3</TotalTime>
  <ScaleCrop>false</ScaleCrop>
  <LinksUpToDate>false</LinksUpToDate>
  <CharactersWithSpaces>1245</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2025-06-25T07:19:00Z</dcterms:created>
  <dc:creator>卢富贵</dc:creator>
  <cp:lastModifiedBy>Administrator</cp:lastModifiedBy>
  <dcterms:modified xsi:type="dcterms:W3CDTF">2025-07-21T07:19:24Z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DC33EB0B931449F0A6E9D1E7D24FB7B8_11</vt:lpwstr>
  </property>
  <property fmtid="{D5CDD505-2E9C-101B-9397-08002B2CF9AE}" pid="4" name="KSOTemplateDocerSaveRecord">
    <vt:lpwstr>eyJoZGlkIjoiOTViZDNkZjliZmRlM2M2OTg2NzQ1ZjZmZTU5YmVlZWYiLCJ1c2VySWQiOiI0MjMwOTI5NzQifQ==</vt:lpwstr>
  </property>
</Properties>
</file>