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hint="eastAsia" w:ascii="方正小标宋_GBK" w:hAnsi="方正小标宋_GBK" w:eastAsia="方正小标宋_GBK" w:cs="方正小标宋_GBK"/>
          <w:bCs/>
          <w:color w:val="auto"/>
          <w:sz w:val="44"/>
          <w:szCs w:val="44"/>
        </w:rPr>
      </w:pPr>
      <w:r>
        <w:rPr>
          <w:rFonts w:hint="default" w:ascii="Times New Roman" w:hAnsi="Times New Roman" w:eastAsia="仿宋_GB2312" w:cs="Times New Roman"/>
          <w:sz w:val="32"/>
          <w:szCs w:val="32"/>
          <w:highlight w:val="none"/>
          <w:lang w:val="en-US" w:eastAsia="zh-CN"/>
        </w:rPr>
        <w:t>粤府土审（02）〔202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113</w:t>
      </w:r>
      <w:r>
        <w:rPr>
          <w:rFonts w:hint="default" w:ascii="Times New Roman" w:hAnsi="Times New Roman" w:eastAsia="仿宋_GB2312" w:cs="Times New Roman"/>
          <w:sz w:val="32"/>
          <w:szCs w:val="32"/>
          <w:highlight w:val="none"/>
          <w:lang w:val="en-US" w:eastAsia="zh-CN"/>
        </w:rPr>
        <w:t>号</w:t>
      </w:r>
    </w:p>
    <w:p w14:paraId="34ACF8B5">
      <w:pPr>
        <w:spacing w:line="560" w:lineRule="exact"/>
        <w:jc w:val="center"/>
        <w:rPr>
          <w:rFonts w:hint="eastAsia" w:ascii="方正小标宋_GBK" w:hAnsi="方正小标宋_GBK" w:eastAsia="方正小标宋_GBK" w:cs="方正小标宋_GBK"/>
          <w:bCs/>
          <w:color w:val="auto"/>
          <w:sz w:val="44"/>
          <w:szCs w:val="44"/>
        </w:rPr>
      </w:pPr>
    </w:p>
    <w:p w14:paraId="139C3C72">
      <w:pPr>
        <w:spacing w:line="56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rPr>
        <w:t>广东省人民政府关于广州市花都区202</w:t>
      </w:r>
      <w:r>
        <w:rPr>
          <w:rFonts w:hint="eastAsia" w:ascii="方正小标宋_GBK" w:hAnsi="方正小标宋_GBK" w:eastAsia="方正小标宋_GBK" w:cs="方正小标宋_GBK"/>
          <w:bCs/>
          <w:color w:val="auto"/>
          <w:sz w:val="44"/>
          <w:szCs w:val="44"/>
          <w:lang w:val="en-US" w:eastAsia="zh-CN"/>
        </w:rPr>
        <w:t>3</w:t>
      </w:r>
      <w:r>
        <w:rPr>
          <w:rFonts w:hint="eastAsia" w:ascii="方正小标宋_GBK" w:hAnsi="方正小标宋_GBK" w:eastAsia="方正小标宋_GBK" w:cs="方正小标宋_GBK"/>
          <w:bCs/>
          <w:color w:val="auto"/>
          <w:sz w:val="44"/>
          <w:szCs w:val="44"/>
        </w:rPr>
        <w:t>年度第</w:t>
      </w:r>
      <w:r>
        <w:rPr>
          <w:rFonts w:hint="eastAsia" w:ascii="方正小标宋_GBK" w:hAnsi="方正小标宋_GBK" w:eastAsia="方正小标宋_GBK" w:cs="方正小标宋_GBK"/>
          <w:bCs/>
          <w:color w:val="auto"/>
          <w:sz w:val="44"/>
          <w:szCs w:val="44"/>
          <w:lang w:eastAsia="zh-CN"/>
        </w:rPr>
        <w:t>五十八</w:t>
      </w:r>
      <w:r>
        <w:rPr>
          <w:rFonts w:hint="eastAsia" w:ascii="方正小标宋_GBK" w:hAnsi="方正小标宋_GBK" w:eastAsia="方正小标宋_GBK" w:cs="方正小标宋_GBK"/>
          <w:bCs/>
          <w:color w:val="auto"/>
          <w:sz w:val="44"/>
          <w:szCs w:val="44"/>
        </w:rPr>
        <w:t>批次城镇建设用地</w:t>
      </w:r>
      <w:r>
        <w:rPr>
          <w:rFonts w:hint="eastAsia" w:ascii="方正小标宋_GBK" w:hAnsi="方正小标宋_GBK" w:eastAsia="方正小标宋_GBK" w:cs="方正小标宋_GBK"/>
          <w:bCs/>
          <w:color w:val="auto"/>
          <w:sz w:val="44"/>
          <w:szCs w:val="44"/>
          <w:u w:val="none"/>
        </w:rPr>
        <w:t>的批复</w:t>
      </w:r>
    </w:p>
    <w:p w14:paraId="66CA970B">
      <w:pPr>
        <w:widowControl/>
        <w:spacing w:line="600" w:lineRule="exact"/>
        <w:jc w:val="center"/>
        <w:textAlignment w:val="baseline"/>
        <w:rPr>
          <w:rFonts w:hint="eastAsia"/>
          <w:b/>
          <w:color w:val="auto"/>
          <w:sz w:val="32"/>
          <w:szCs w:val="32"/>
          <w:u w:val="none"/>
        </w:rPr>
      </w:pPr>
    </w:p>
    <w:p w14:paraId="093046C0">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p>
    <w:p w14:paraId="5284D289">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val="en-US" w:eastAsia="zh-CN"/>
        </w:rPr>
        <w:t>《广州市花都区人民政府</w:t>
      </w:r>
      <w:r>
        <w:rPr>
          <w:rFonts w:hint="eastAsia" w:ascii="仿宋_GB2312" w:hAnsi="仿宋_GB2312" w:eastAsia="仿宋_GB2312" w:cs="仿宋_GB2312"/>
          <w:color w:val="auto"/>
          <w:sz w:val="32"/>
          <w:szCs w:val="32"/>
          <w:lang w:eastAsia="zh-CN"/>
        </w:rPr>
        <w:t>关于申请</w:t>
      </w:r>
      <w:r>
        <w:rPr>
          <w:rFonts w:hint="eastAsia" w:ascii="仿宋_GB2312" w:hAnsi="仿宋_GB2312" w:eastAsia="仿宋_GB2312" w:cs="仿宋_GB2312"/>
          <w:color w:val="auto"/>
          <w:sz w:val="32"/>
          <w:szCs w:val="32"/>
          <w:lang w:val="en-US" w:eastAsia="zh-CN"/>
        </w:rPr>
        <w:t>广州市花都区</w:t>
      </w:r>
      <w:r>
        <w:rPr>
          <w:rFonts w:hint="eastAsia"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3</w:t>
      </w:r>
      <w:r>
        <w:rPr>
          <w:rFonts w:hint="eastAsia" w:ascii="仿宋_GB2312" w:hAnsi="仿宋_GB2312" w:eastAsia="仿宋_GB2312" w:cs="仿宋_GB2312"/>
          <w:color w:val="auto"/>
          <w:sz w:val="32"/>
          <w:szCs w:val="32"/>
          <w:lang w:val="en-US" w:eastAsia="zh-CN"/>
        </w:rPr>
        <w:t>年度第五十八批次城镇建设用地土地征收</w:t>
      </w:r>
      <w:r>
        <w:rPr>
          <w:rFonts w:hint="eastAsia" w:ascii="仿宋_GB2312" w:hAnsi="仿宋_GB2312" w:eastAsia="仿宋_GB2312" w:cs="仿宋_GB2312"/>
          <w:color w:val="auto"/>
          <w:sz w:val="32"/>
          <w:szCs w:val="32"/>
          <w:lang w:eastAsia="zh-CN"/>
        </w:rPr>
        <w:t>的请示》</w:t>
      </w:r>
      <w:r>
        <w:rPr>
          <w:rFonts w:hint="eastAsia" w:ascii="仿宋_GB2312" w:hAnsi="仿宋_GB2312" w:eastAsia="仿宋_GB2312" w:cs="仿宋_GB2312"/>
          <w:color w:val="auto"/>
          <w:sz w:val="32"/>
          <w:szCs w:val="32"/>
          <w:highlight w:val="none"/>
          <w:lang w:val="en-US" w:eastAsia="zh-CN"/>
        </w:rPr>
        <w:t>（花府字</w:t>
      </w:r>
      <w:r>
        <w:rPr>
          <w:rFonts w:hint="eastAsia" w:ascii="Times New Roman" w:hAnsi="Times New Roman" w:eastAsia="仿宋_GB2312" w:cs="Times New Roman"/>
          <w:color w:val="auto"/>
          <w:sz w:val="32"/>
          <w:szCs w:val="32"/>
          <w:highlight w:val="none"/>
          <w:u w:val="none"/>
          <w:lang w:val="en-US" w:eastAsia="zh-CN"/>
        </w:rPr>
        <w:t>〔2025〕</w:t>
      </w:r>
      <w:r>
        <w:rPr>
          <w:rFonts w:hint="eastAsia" w:eastAsia="仿宋_GB2312" w:cs="Times New Roman"/>
          <w:color w:val="auto"/>
          <w:sz w:val="32"/>
          <w:szCs w:val="32"/>
          <w:highlight w:val="none"/>
          <w:u w:val="none"/>
          <w:lang w:val="en-US" w:eastAsia="zh-CN"/>
        </w:rPr>
        <w:t>44</w:t>
      </w:r>
      <w:r>
        <w:rPr>
          <w:rFonts w:hint="eastAsia" w:ascii="仿宋_GB2312" w:hAnsi="仿宋_GB2312" w:eastAsia="仿宋_GB2312" w:cs="仿宋_GB2312"/>
          <w:color w:val="auto"/>
          <w:sz w:val="32"/>
          <w:szCs w:val="32"/>
          <w:highlight w:val="none"/>
          <w:u w:val="none"/>
          <w:lang w:val="en-US" w:eastAsia="zh-CN"/>
        </w:rPr>
        <w:t>号</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u w:val="none"/>
        </w:rPr>
        <w:t>及相关材料已通过审核。根据《中华人民共和国土地管理法》、</w:t>
      </w:r>
      <w:r>
        <w:rPr>
          <w:rFonts w:hint="eastAsia" w:ascii="仿宋_GB2312" w:hAnsi="仿宋_GB2312" w:eastAsia="仿宋_GB2312" w:cs="仿宋_GB2312"/>
          <w:color w:val="auto"/>
          <w:sz w:val="32"/>
          <w:szCs w:val="32"/>
          <w:u w:val="none"/>
          <w:lang w:eastAsia="zh-CN"/>
        </w:rPr>
        <w:t>四十五、</w:t>
      </w:r>
      <w:r>
        <w:rPr>
          <w:rFonts w:hint="eastAsia" w:ascii="仿宋_GB2312" w:hAnsi="仿宋_GB2312" w:eastAsia="仿宋_GB2312" w:cs="仿宋_GB2312"/>
          <w:color w:val="auto"/>
          <w:sz w:val="32"/>
          <w:szCs w:val="32"/>
          <w:highlight w:val="none"/>
          <w:u w:val="none"/>
        </w:rPr>
        <w:t>四十</w:t>
      </w:r>
      <w:r>
        <w:rPr>
          <w:rFonts w:hint="eastAsia" w:ascii="仿宋_GB2312" w:hAnsi="仿宋_GB2312" w:eastAsia="仿宋_GB2312" w:cs="仿宋_GB2312"/>
          <w:color w:val="auto"/>
          <w:sz w:val="32"/>
          <w:szCs w:val="32"/>
          <w:highlight w:val="none"/>
          <w:u w:val="none"/>
          <w:lang w:val="en-US" w:eastAsia="zh-CN"/>
        </w:rPr>
        <w:t>六</w:t>
      </w:r>
      <w:r>
        <w:rPr>
          <w:rFonts w:hint="eastAsia" w:ascii="仿宋_GB2312" w:hAnsi="仿宋_GB2312" w:eastAsia="仿宋_GB2312" w:cs="仿宋_GB2312"/>
          <w:color w:val="auto"/>
          <w:sz w:val="32"/>
          <w:szCs w:val="32"/>
          <w:highlight w:val="none"/>
          <w:u w:val="none"/>
        </w:rPr>
        <w:t>条有关规定</w:t>
      </w:r>
      <w:r>
        <w:rPr>
          <w:rFonts w:hint="eastAsia" w:ascii="仿宋_GB2312" w:hAnsi="仿宋_GB2312" w:eastAsia="仿宋_GB2312" w:cs="仿宋_GB2312"/>
          <w:color w:val="auto"/>
          <w:sz w:val="32"/>
          <w:szCs w:val="32"/>
          <w:u w:val="none"/>
        </w:rPr>
        <w:t>，批复如下：</w:t>
      </w:r>
    </w:p>
    <w:p w14:paraId="6CACEA91">
      <w:pPr>
        <w:pStyle w:val="6"/>
        <w:keepNext w:val="0"/>
        <w:keepLines w:val="0"/>
        <w:pageBreakBefore w:val="0"/>
        <w:widowControl w:val="0"/>
        <w:kinsoku/>
        <w:wordWrap/>
        <w:overflowPunct/>
        <w:topLinePunct w:val="0"/>
        <w:autoSpaceDE w:val="0"/>
        <w:autoSpaceDN w:val="0"/>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同意使用</w:t>
      </w:r>
      <w:r>
        <w:rPr>
          <w:rFonts w:hint="eastAsia" w:eastAsia="仿宋_GB2312" w:cs="Times New Roman"/>
          <w:color w:val="auto"/>
          <w:kern w:val="2"/>
          <w:sz w:val="32"/>
          <w:szCs w:val="32"/>
          <w:highlight w:val="none"/>
          <w:u w:val="none"/>
          <w:lang w:val="en-US" w:eastAsia="zh-CN" w:bidi="ar-SA"/>
        </w:rPr>
        <w:t>1.0134</w:t>
      </w:r>
      <w:r>
        <w:rPr>
          <w:rFonts w:hint="eastAsia" w:ascii="Times New Roman" w:hAnsi="Times New Roman" w:eastAsia="仿宋_GB2312" w:cs="Times New Roman"/>
          <w:color w:val="auto"/>
          <w:kern w:val="2"/>
          <w:sz w:val="32"/>
          <w:szCs w:val="32"/>
          <w:highlight w:val="none"/>
          <w:u w:val="none"/>
          <w:lang w:val="en-US" w:eastAsia="zh-CN" w:bidi="ar-SA"/>
        </w:rPr>
        <w:t>公顷城镇建设用地，即同意你市将花都区</w:t>
      </w:r>
      <w:r>
        <w:rPr>
          <w:rFonts w:hint="eastAsia" w:eastAsia="仿宋_GB2312" w:cs="Times New Roman"/>
          <w:color w:val="auto"/>
          <w:kern w:val="2"/>
          <w:sz w:val="32"/>
          <w:szCs w:val="32"/>
          <w:highlight w:val="none"/>
          <w:u w:val="none"/>
          <w:lang w:val="en-US" w:eastAsia="zh-CN" w:bidi="ar-SA"/>
        </w:rPr>
        <w:t>狮岭镇联合经济联合社、联合新联、联合六一、联合白池塘经济合作社使用上述有关村集体建设用地1.0134公顷，以上合计1.0134公顷集体土地一并办理征地手续。</w:t>
      </w:r>
      <w:r>
        <w:rPr>
          <w:rFonts w:hint="eastAsia" w:ascii="Times New Roman" w:hAnsi="Times New Roman" w:eastAsia="仿宋_GB2312" w:cs="Times New Roman"/>
          <w:color w:val="auto"/>
          <w:kern w:val="2"/>
          <w:sz w:val="32"/>
          <w:szCs w:val="32"/>
          <w:highlight w:val="none"/>
          <w:u w:val="none"/>
          <w:lang w:val="en-US" w:eastAsia="zh-CN" w:bidi="ar-SA"/>
        </w:rPr>
        <w:t>上述批准建设用地</w:t>
      </w:r>
      <w:r>
        <w:rPr>
          <w:rFonts w:hint="eastAsia" w:eastAsia="仿宋_GB2312" w:cs="Times New Roman"/>
          <w:color w:val="auto"/>
          <w:kern w:val="2"/>
          <w:sz w:val="32"/>
          <w:szCs w:val="32"/>
          <w:highlight w:val="none"/>
          <w:u w:val="none"/>
          <w:lang w:val="en-US" w:eastAsia="zh-CN" w:bidi="ar-SA"/>
        </w:rPr>
        <w:t>1.0134</w:t>
      </w:r>
      <w:r>
        <w:rPr>
          <w:rFonts w:hint="eastAsia" w:ascii="Times New Roman" w:hAnsi="Times New Roman" w:eastAsia="仿宋_GB2312" w:cs="Times New Roman"/>
          <w:color w:val="auto"/>
          <w:kern w:val="2"/>
          <w:sz w:val="32"/>
          <w:szCs w:val="32"/>
          <w:highlight w:val="none"/>
          <w:u w:val="none"/>
          <w:lang w:val="en-US" w:eastAsia="zh-CN" w:bidi="ar-SA"/>
        </w:rPr>
        <w:t>公顷</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kern w:val="0"/>
          <w:sz w:val="32"/>
          <w:szCs w:val="32"/>
          <w:u w:val="none"/>
          <w:lang w:val="en-US" w:eastAsia="zh-CN" w:bidi="ar"/>
        </w:rPr>
        <w:t>当地人民政府依法依规供应</w:t>
      </w:r>
      <w:r>
        <w:rPr>
          <w:rFonts w:hint="eastAsia" w:ascii="仿宋_GB2312" w:hAnsi="仿宋_GB2312" w:eastAsia="仿宋_GB2312" w:cs="仿宋_GB2312"/>
          <w:color w:val="auto"/>
          <w:sz w:val="32"/>
          <w:szCs w:val="32"/>
        </w:rPr>
        <w:t>。</w:t>
      </w:r>
    </w:p>
    <w:p w14:paraId="0AE2478C">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lang w:eastAsia="zh-CN"/>
        </w:rPr>
        <w:t>你市相关不动产登记机构以此办理集体土地所有权注销或变更登记。</w:t>
      </w:r>
    </w:p>
    <w:p w14:paraId="212330DD">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none"/>
        </w:rPr>
        <w:t>批后实施情况和</w:t>
      </w:r>
      <w:r>
        <w:rPr>
          <w:rFonts w:hint="eastAsia" w:ascii="仿宋_GB2312" w:hAnsi="仿宋_GB2312" w:eastAsia="仿宋_GB2312" w:cs="仿宋_GB2312"/>
          <w:color w:val="auto"/>
          <w:sz w:val="32"/>
          <w:szCs w:val="32"/>
          <w:highlight w:val="none"/>
        </w:rPr>
        <w:t>具体项目供地情况须按规定报备。</w:t>
      </w:r>
    </w:p>
    <w:p w14:paraId="187D18A0">
      <w:pPr>
        <w:widowControl/>
        <w:spacing w:line="600" w:lineRule="exact"/>
        <w:textAlignment w:val="baseline"/>
        <w:rPr>
          <w:rFonts w:hint="eastAsia" w:ascii="仿宋_GB2312" w:hAnsi="仿宋_GB2312" w:eastAsia="仿宋_GB2312" w:cs="仿宋_GB2312"/>
          <w:color w:val="auto"/>
          <w:sz w:val="32"/>
          <w:szCs w:val="32"/>
        </w:rPr>
      </w:pPr>
    </w:p>
    <w:p w14:paraId="41B02CD6">
      <w:pPr>
        <w:widowControl/>
        <w:spacing w:line="600" w:lineRule="exact"/>
        <w:textAlignment w:val="baseline"/>
        <w:rPr>
          <w:rFonts w:hint="eastAsia" w:ascii="仿宋_GB2312" w:hAnsi="仿宋_GB2312" w:eastAsia="仿宋_GB2312" w:cs="仿宋_GB2312"/>
          <w:color w:val="auto"/>
          <w:sz w:val="32"/>
          <w:szCs w:val="32"/>
        </w:rPr>
      </w:pPr>
    </w:p>
    <w:p w14:paraId="65786145">
      <w:pPr>
        <w:widowControl/>
        <w:spacing w:line="60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广东省人民政府</w:t>
      </w:r>
    </w:p>
    <w:p w14:paraId="247084E5">
      <w:pPr>
        <w:widowControl/>
        <w:spacing w:line="600" w:lineRule="exact"/>
        <w:ind w:firstLine="64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kern w:val="2"/>
          <w:sz w:val="32"/>
          <w:szCs w:val="32"/>
          <w:highlight w:val="none"/>
          <w:u w:val="none"/>
          <w:lang w:val="en-US" w:eastAsia="zh-CN" w:bidi="ar-SA"/>
        </w:rPr>
        <w:t>2025年6月</w:t>
      </w:r>
      <w:r>
        <w:rPr>
          <w:rFonts w:hint="eastAsia" w:eastAsia="仿宋_GB2312" w:cs="Times New Roman"/>
          <w:color w:val="auto"/>
          <w:kern w:val="2"/>
          <w:sz w:val="32"/>
          <w:szCs w:val="32"/>
          <w:highlight w:val="none"/>
          <w:u w:val="none"/>
          <w:lang w:val="en-US" w:eastAsia="zh-CN" w:bidi="ar-SA"/>
        </w:rPr>
        <w:t>30</w:t>
      </w:r>
      <w:bookmarkStart w:id="0" w:name="_GoBack"/>
      <w:bookmarkEnd w:id="0"/>
      <w:r>
        <w:rPr>
          <w:rFonts w:hint="eastAsia" w:ascii="仿宋_GB2312" w:hAnsi="仿宋_GB2312" w:eastAsia="仿宋_GB2312" w:cs="仿宋_GB2312"/>
          <w:color w:val="auto"/>
          <w:sz w:val="32"/>
          <w:szCs w:val="32"/>
        </w:rPr>
        <w:t>日</w:t>
      </w:r>
    </w:p>
    <w:p w14:paraId="11B7957D">
      <w:pPr>
        <w:widowControl/>
        <w:spacing w:line="600" w:lineRule="exact"/>
        <w:textAlignment w:val="baseline"/>
        <w:rPr>
          <w:rFonts w:hint="eastAsia" w:eastAsia="仿宋_GB2312"/>
          <w:color w:val="auto"/>
          <w:sz w:val="32"/>
          <w:szCs w:val="32"/>
        </w:rPr>
      </w:pPr>
    </w:p>
    <w:p w14:paraId="24615EB3">
      <w:pPr>
        <w:widowControl/>
        <w:spacing w:line="600" w:lineRule="exact"/>
        <w:textAlignment w:val="baseline"/>
        <w:rPr>
          <w:rFonts w:hint="eastAsia" w:eastAsia="仿宋_GB2312"/>
          <w:color w:val="auto"/>
          <w:sz w:val="32"/>
          <w:szCs w:val="32"/>
        </w:rPr>
      </w:pPr>
    </w:p>
    <w:p w14:paraId="1D8FC74C">
      <w:pPr>
        <w:widowControl/>
        <w:spacing w:line="600" w:lineRule="exact"/>
        <w:textAlignment w:val="baseline"/>
        <w:rPr>
          <w:rFonts w:hint="eastAsia" w:eastAsia="仿宋_GB2312"/>
          <w:color w:val="auto"/>
          <w:sz w:val="32"/>
          <w:szCs w:val="32"/>
        </w:rPr>
      </w:pPr>
    </w:p>
    <w:p w14:paraId="7DC06B6D">
      <w:pPr>
        <w:spacing w:line="600" w:lineRule="exact"/>
        <w:rPr>
          <w:rFonts w:hint="eastAsia" w:ascii="黑体" w:hAnsi="黑体" w:eastAsia="黑体"/>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p>
    <w:p w14:paraId="0A1E5A8C">
      <w:pPr>
        <w:spacing w:line="560" w:lineRule="exact"/>
        <w:ind w:left="1104" w:leftChars="201" w:hanging="690" w:hangingChars="250"/>
        <w:rPr>
          <w:color w:val="auto"/>
        </w:rPr>
      </w:pPr>
      <w:r>
        <w:rPr>
          <w:rFonts w:eastAsia="仿宋_GB2312"/>
          <w:color w:val="auto"/>
          <w:sz w:val="28"/>
          <w:szCs w:val="28"/>
        </w:rPr>
        <w:t>抄送：</w:t>
      </w:r>
      <w:r>
        <w:rPr>
          <w:rFonts w:hint="eastAsia" w:eastAsia="仿宋_GB2312"/>
          <w:color w:val="auto"/>
          <w:sz w:val="28"/>
          <w:szCs w:val="28"/>
        </w:rPr>
        <w:t>国家自然资源督察广州局，财政部广东监管局，省财政厅、省人力资源和社会保障厅、省自然资源厅、省农业农村厅、国家税务总局广东省税务局</w:t>
      </w:r>
      <w:r>
        <w:rPr>
          <w:rFonts w:hint="eastAsia" w:eastAsia="仿宋_GB2312"/>
          <w:color w:val="auto"/>
          <w:sz w:val="28"/>
          <w:szCs w:val="28"/>
          <w:lang w:eastAsia="zh-CN"/>
        </w:rPr>
        <w:t>。</w:t>
      </w:r>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239E8"/>
    <w:rsid w:val="02810FF7"/>
    <w:rsid w:val="0346238A"/>
    <w:rsid w:val="0C9920D9"/>
    <w:rsid w:val="0D953957"/>
    <w:rsid w:val="13236B26"/>
    <w:rsid w:val="15EA2560"/>
    <w:rsid w:val="18F4146A"/>
    <w:rsid w:val="1B473CAE"/>
    <w:rsid w:val="1EBE5AFE"/>
    <w:rsid w:val="23BE3A38"/>
    <w:rsid w:val="24491BE9"/>
    <w:rsid w:val="26AD3E24"/>
    <w:rsid w:val="2E6F1820"/>
    <w:rsid w:val="33935FAE"/>
    <w:rsid w:val="38E15352"/>
    <w:rsid w:val="3BBA7AA0"/>
    <w:rsid w:val="3E6E486D"/>
    <w:rsid w:val="3EA242D1"/>
    <w:rsid w:val="407B1783"/>
    <w:rsid w:val="42933821"/>
    <w:rsid w:val="429C3C8E"/>
    <w:rsid w:val="44481963"/>
    <w:rsid w:val="449D58A0"/>
    <w:rsid w:val="483A73C5"/>
    <w:rsid w:val="4F617A2B"/>
    <w:rsid w:val="506F56B2"/>
    <w:rsid w:val="51C56C38"/>
    <w:rsid w:val="522D01E0"/>
    <w:rsid w:val="555846C7"/>
    <w:rsid w:val="56A7023F"/>
    <w:rsid w:val="5D293D56"/>
    <w:rsid w:val="67B63BB5"/>
    <w:rsid w:val="69B5367B"/>
    <w:rsid w:val="6D593268"/>
    <w:rsid w:val="770C5427"/>
    <w:rsid w:val="7AD83918"/>
    <w:rsid w:val="7BF82EAB"/>
    <w:rsid w:val="7C7236B9"/>
    <w:rsid w:val="7E2F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15</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陈湘鹏</cp:lastModifiedBy>
  <dcterms:modified xsi:type="dcterms:W3CDTF">2025-07-16T07:09:27Z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