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568C3">
      <w:pPr>
        <w:spacing w:before="0" w:line="580" w:lineRule="exact"/>
        <w:ind w:left="0" w:right="0" w:firstLine="0"/>
        <w:jc w:val="center"/>
        <w:rPr>
          <w:rFonts w:hint="eastAsia" w:eastAsia="方正小标宋简体" w:cs="Times New Roman"/>
          <w:kern w:val="2"/>
          <w:sz w:val="44"/>
          <w:szCs w:val="44"/>
          <w:lang w:val="en-US" w:eastAsia="zh-CN"/>
        </w:rPr>
      </w:pPr>
    </w:p>
    <w:p w14:paraId="0E66D345">
      <w:pPr>
        <w:spacing w:before="0" w:line="580" w:lineRule="exact"/>
        <w:ind w:left="0" w:right="0" w:firstLine="0"/>
        <w:jc w:val="center"/>
        <w:rPr>
          <w:rFonts w:hint="eastAsia" w:eastAsia="方正小标宋简体" w:cs="Times New Roman"/>
          <w:kern w:val="2"/>
          <w:sz w:val="44"/>
          <w:szCs w:val="44"/>
          <w:lang w:val="en-US" w:eastAsia="zh-CN"/>
        </w:rPr>
      </w:pPr>
    </w:p>
    <w:p w14:paraId="19801595">
      <w:pPr>
        <w:spacing w:before="0" w:line="580" w:lineRule="exact"/>
        <w:ind w:left="0" w:right="0" w:firstLine="0"/>
        <w:jc w:val="center"/>
        <w:rPr>
          <w:rFonts w:hint="eastAsia" w:eastAsia="方正小标宋简体" w:cs="Times New Roman"/>
          <w:kern w:val="2"/>
          <w:sz w:val="44"/>
          <w:szCs w:val="44"/>
          <w:lang w:val="en-US" w:eastAsia="zh-CN"/>
        </w:rPr>
      </w:pPr>
    </w:p>
    <w:p w14:paraId="6A32A956">
      <w:pPr>
        <w:spacing w:before="0" w:line="580" w:lineRule="exact"/>
        <w:ind w:left="0" w:right="0" w:firstLine="0"/>
        <w:jc w:val="center"/>
        <w:rPr>
          <w:rFonts w:hint="default" w:eastAsia="方正小标宋简体" w:cs="Times New Roman"/>
          <w:kern w:val="2"/>
          <w:sz w:val="44"/>
          <w:szCs w:val="44"/>
          <w:lang w:val="en-US" w:eastAsia="zh-CN"/>
        </w:rPr>
      </w:pPr>
      <w:r>
        <w:rPr>
          <w:rFonts w:hint="eastAsia" w:eastAsia="方正小标宋简体" w:cs="Times New Roman"/>
          <w:kern w:val="2"/>
          <w:sz w:val="44"/>
          <w:szCs w:val="44"/>
          <w:lang w:val="en-US" w:eastAsia="zh-CN"/>
        </w:rPr>
        <w:t>关于</w:t>
      </w:r>
      <w:r>
        <w:rPr>
          <w:rFonts w:hint="default" w:eastAsia="方正小标宋简体" w:cs="Times New Roman"/>
          <w:kern w:val="2"/>
          <w:sz w:val="44"/>
          <w:szCs w:val="44"/>
          <w:lang w:val="en-US" w:eastAsia="zh-CN"/>
        </w:rPr>
        <w:t>广州市花都区2025年度第</w:t>
      </w:r>
      <w:r>
        <w:rPr>
          <w:rFonts w:hint="eastAsia" w:eastAsia="方正小标宋简体" w:cs="Times New Roman"/>
          <w:kern w:val="2"/>
          <w:sz w:val="44"/>
          <w:szCs w:val="44"/>
          <w:lang w:val="en-US" w:eastAsia="zh-CN"/>
        </w:rPr>
        <w:t>三十一</w:t>
      </w:r>
      <w:r>
        <w:rPr>
          <w:rFonts w:hint="default" w:eastAsia="方正小标宋简体" w:cs="Times New Roman"/>
          <w:kern w:val="2"/>
          <w:sz w:val="44"/>
          <w:szCs w:val="44"/>
          <w:lang w:val="en-US" w:eastAsia="zh-CN"/>
        </w:rPr>
        <w:t>批次</w:t>
      </w:r>
    </w:p>
    <w:p w14:paraId="1B7C71EC">
      <w:pPr>
        <w:spacing w:before="0" w:line="580" w:lineRule="exact"/>
        <w:ind w:left="0" w:right="0" w:firstLine="0"/>
        <w:jc w:val="center"/>
        <w:rPr>
          <w:rFonts w:hint="default" w:eastAsia="方正小标宋简体" w:cs="Times New Roman"/>
          <w:kern w:val="2"/>
          <w:sz w:val="44"/>
          <w:szCs w:val="44"/>
          <w:lang w:val="en-US" w:eastAsia="zh-CN"/>
        </w:rPr>
      </w:pPr>
      <w:r>
        <w:rPr>
          <w:rFonts w:hint="default" w:eastAsia="方正小标宋简体" w:cs="Times New Roman"/>
          <w:kern w:val="2"/>
          <w:sz w:val="44"/>
          <w:szCs w:val="44"/>
          <w:lang w:val="en-US" w:eastAsia="zh-CN"/>
        </w:rPr>
        <w:t>城镇建设用地（茶塘工业园规划一路建设</w:t>
      </w:r>
    </w:p>
    <w:p w14:paraId="04E61CF9">
      <w:pPr>
        <w:spacing w:before="0" w:line="580" w:lineRule="exact"/>
        <w:ind w:left="0" w:right="0" w:firstLine="0"/>
        <w:jc w:val="center"/>
        <w:rPr>
          <w:rFonts w:hint="eastAsia"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工程</w:t>
      </w:r>
      <w:r>
        <w:rPr>
          <w:rFonts w:hint="eastAsia" w:ascii="仿宋_GB2312" w:hAnsi="仿宋_GB2312" w:eastAsia="仿宋_GB2312" w:cs="仿宋_GB2312"/>
          <w:kern w:val="2"/>
          <w:sz w:val="44"/>
          <w:szCs w:val="44"/>
          <w:lang w:val="en-US" w:eastAsia="zh-CN"/>
        </w:rPr>
        <w:t>〔</w:t>
      </w:r>
      <w:r>
        <w:rPr>
          <w:rFonts w:hint="default" w:eastAsia="方正小标宋简体" w:cs="Times New Roman"/>
          <w:kern w:val="2"/>
          <w:sz w:val="44"/>
          <w:szCs w:val="44"/>
          <w:lang w:val="en-US" w:eastAsia="zh-CN"/>
        </w:rPr>
        <w:t>茶塘东路至规划六路</w:t>
      </w:r>
      <w:r>
        <w:rPr>
          <w:rFonts w:hint="eastAsia" w:ascii="仿宋_GB2312" w:hAnsi="仿宋_GB2312" w:eastAsia="仿宋_GB2312" w:cs="仿宋_GB2312"/>
          <w:kern w:val="2"/>
          <w:sz w:val="44"/>
          <w:szCs w:val="44"/>
          <w:lang w:val="en-US" w:eastAsia="zh-CN"/>
        </w:rPr>
        <w:t>〕</w:t>
      </w:r>
      <w:r>
        <w:rPr>
          <w:rFonts w:hint="default" w:eastAsia="方正小标宋简体" w:cs="Times New Roman"/>
          <w:kern w:val="2"/>
          <w:sz w:val="44"/>
          <w:szCs w:val="44"/>
          <w:lang w:val="en-US" w:eastAsia="zh-CN"/>
        </w:rPr>
        <w:t>）</w:t>
      </w:r>
      <w:r>
        <w:rPr>
          <w:rFonts w:hint="eastAsia" w:ascii="Times New Roman" w:hAnsi="Times New Roman" w:eastAsia="方正小标宋简体" w:cs="Times New Roman"/>
          <w:kern w:val="2"/>
          <w:sz w:val="44"/>
          <w:szCs w:val="44"/>
          <w:lang w:val="en-US" w:eastAsia="zh-CN"/>
        </w:rPr>
        <w:t>的</w:t>
      </w:r>
    </w:p>
    <w:p w14:paraId="2C8EA882">
      <w:pPr>
        <w:spacing w:before="0" w:line="580" w:lineRule="exact"/>
        <w:ind w:left="0" w:right="0" w:firstLine="0"/>
        <w:jc w:val="center"/>
        <w:rPr>
          <w:rFonts w:hint="eastAsia" w:ascii="方正小标宋简体" w:hAnsi="方正小标宋简体" w:eastAsia="方正小标宋简体" w:cs="方正小标宋简体"/>
          <w:kern w:val="2"/>
          <w:sz w:val="44"/>
          <w:szCs w:val="44"/>
        </w:rPr>
      </w:pPr>
      <w:r>
        <w:rPr>
          <w:rFonts w:hint="default" w:ascii="Times New Roman" w:hAnsi="Times New Roman" w:eastAsia="方正小标宋简体" w:cs="Times New Roman"/>
          <w:kern w:val="2"/>
          <w:sz w:val="44"/>
          <w:szCs w:val="44"/>
        </w:rPr>
        <w:t>征地补偿安置方案</w:t>
      </w:r>
    </w:p>
    <w:p w14:paraId="470FBD40">
      <w:pPr>
        <w:spacing w:before="0" w:line="58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茶塘第九</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茶塘第十经济合作社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0.4750</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0.4750公顷。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茶塘第九</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茶塘第十经济合作社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kern w:val="2"/>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茶塘第九</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茶塘第十经济合作社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w:t>
      </w:r>
      <w:r>
        <w:rPr>
          <w:rFonts w:hint="eastAsia" w:cs="Times New Roman"/>
          <w:kern w:val="2"/>
          <w:sz w:val="32"/>
          <w:szCs w:val="32"/>
          <w:lang w:val="en-US" w:eastAsia="zh-CN"/>
        </w:rPr>
        <w:t>4750</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cs="Times New Roman"/>
          <w:kern w:val="2"/>
          <w:sz w:val="32"/>
          <w:szCs w:val="32"/>
          <w:lang w:val="en-US" w:eastAsia="zh-CN"/>
        </w:rPr>
        <w:t>7.1250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w:t>
      </w:r>
      <w:r>
        <w:rPr>
          <w:rFonts w:hint="eastAsia" w:cs="Times New Roman"/>
          <w:kern w:val="2"/>
          <w:sz w:val="32"/>
          <w:szCs w:val="32"/>
          <w:highlight w:val="none"/>
          <w:lang w:val="en-US" w:eastAsia="zh-CN"/>
        </w:rPr>
        <w:t>2731</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cs="Times New Roman"/>
          <w:kern w:val="2"/>
          <w:sz w:val="32"/>
          <w:szCs w:val="32"/>
          <w:lang w:val="en-US" w:eastAsia="zh-CN"/>
        </w:rPr>
        <w:t>4.0965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cs="Times New Roman"/>
          <w:kern w:val="2"/>
          <w:sz w:val="32"/>
          <w:szCs w:val="32"/>
          <w:lang w:val="en-US" w:eastAsia="zh-CN"/>
        </w:rPr>
        <w:t>0.2019</w:t>
      </w:r>
      <w:r>
        <w:rPr>
          <w:rFonts w:hint="default" w:ascii="Times New Roman" w:hAnsi="Times New Roman" w:eastAsia="仿宋_GB2312" w:cs="Times New Roman"/>
          <w:kern w:val="2"/>
          <w:sz w:val="32"/>
          <w:szCs w:val="32"/>
        </w:rPr>
        <w:t>公顷（</w:t>
      </w:r>
      <w:r>
        <w:rPr>
          <w:rFonts w:hint="eastAsia" w:cs="Times New Roman"/>
          <w:kern w:val="2"/>
          <w:sz w:val="32"/>
          <w:szCs w:val="32"/>
          <w:lang w:val="en-US" w:eastAsia="zh-CN"/>
        </w:rPr>
        <w:t>3.0285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青苗及其他地上附着物</w:t>
      </w:r>
      <w:r>
        <w:rPr>
          <w:rFonts w:hint="eastAsia" w:cs="Times New Roman"/>
          <w:color w:val="auto"/>
          <w:kern w:val="2"/>
          <w:sz w:val="32"/>
          <w:szCs w:val="32"/>
          <w:highlight w:val="none"/>
          <w:lang w:val="en-US" w:eastAsia="zh-CN"/>
        </w:rPr>
        <w:t>补偿</w:t>
      </w:r>
      <w:r>
        <w:rPr>
          <w:rFonts w:hint="eastAsia" w:ascii="Times New Roman" w:hAnsi="Times New Roman" w:eastAsia="仿宋_GB2312" w:cs="Times New Roman"/>
          <w:color w:val="auto"/>
          <w:kern w:val="2"/>
          <w:sz w:val="32"/>
          <w:szCs w:val="32"/>
          <w:highlight w:val="none"/>
          <w:lang w:eastAsia="zh-CN"/>
        </w:rPr>
        <w:t>参照</w:t>
      </w:r>
      <w:r>
        <w:rPr>
          <w:rFonts w:hint="default" w:ascii="Times New Roman" w:hAnsi="Times New Roman" w:eastAsia="仿宋_GB2312" w:cs="Times New Roman"/>
          <w:color w:val="auto"/>
          <w:kern w:val="2"/>
          <w:sz w:val="32"/>
          <w:szCs w:val="32"/>
          <w:highlight w:val="none"/>
          <w:lang w:eastAsia="zh-CN"/>
        </w:rPr>
        <w:t>《广州市花都区人民政府办公室印发花都区片区征地包干补偿工作方案的通知》（花府办〔2016〕12号）</w:t>
      </w:r>
      <w:r>
        <w:rPr>
          <w:rFonts w:hint="eastAsia" w:cs="Times New Roman"/>
          <w:color w:val="auto"/>
          <w:kern w:val="2"/>
          <w:sz w:val="32"/>
          <w:szCs w:val="32"/>
          <w:highlight w:val="none"/>
          <w:lang w:val="en-US" w:eastAsia="zh-CN"/>
        </w:rPr>
        <w:t>的规定执行</w:t>
      </w:r>
      <w:r>
        <w:rPr>
          <w:rFonts w:hint="eastAsia" w:ascii="Times New Roman" w:hAnsi="Times New Roman" w:eastAsia="仿宋_GB2312" w:cs="Times New Roman"/>
          <w:color w:val="auto"/>
          <w:kern w:val="2"/>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8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8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color w:val="auto"/>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w:t>
      </w:r>
      <w:r>
        <w:rPr>
          <w:rFonts w:hint="default" w:ascii="Times New Roman" w:hAnsi="Times New Roman" w:eastAsia="仿宋_GB2312" w:cs="Times New Roman"/>
          <w:color w:val="auto"/>
          <w:kern w:val="2"/>
          <w:sz w:val="32"/>
          <w:szCs w:val="32"/>
          <w:u w:val="none"/>
          <w:lang w:val="en-US" w:eastAsia="zh-CN" w:bidi="ar"/>
        </w:rPr>
        <w:t>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u w:val="none"/>
          <w:lang w:val="en-US" w:eastAsia="zh-CN" w:bidi="ar"/>
        </w:rPr>
        <w:t>号</w:t>
      </w:r>
      <w:r>
        <w:rPr>
          <w:rFonts w:hint="default" w:ascii="Times New Roman" w:hAnsi="Times New Roman" w:eastAsia="仿宋_GB2312" w:cs="Times New Roman"/>
          <w:color w:val="auto"/>
          <w:kern w:val="2"/>
          <w:sz w:val="32"/>
          <w:szCs w:val="32"/>
          <w:lang w:val="en-US" w:eastAsia="zh-CN" w:bidi="ar"/>
        </w:rPr>
        <w:t>）</w:t>
      </w:r>
      <w:r>
        <w:rPr>
          <w:rFonts w:hint="eastAsia" w:cs="Times New Roman"/>
          <w:color w:val="auto"/>
          <w:kern w:val="2"/>
          <w:sz w:val="32"/>
          <w:szCs w:val="32"/>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lang w:val="en-US" w:eastAsia="zh-CN" w:bidi="ar"/>
        </w:rPr>
        <w:t>，按照</w:t>
      </w:r>
      <w:r>
        <w:rPr>
          <w:rFonts w:hint="eastAsia" w:cs="Times New Roman"/>
          <w:color w:val="auto"/>
          <w:kern w:val="2"/>
          <w:sz w:val="32"/>
          <w:szCs w:val="32"/>
          <w:highlight w:val="none"/>
          <w:lang w:val="en-US" w:eastAsia="zh-CN" w:bidi="ar"/>
        </w:rPr>
        <w:t>1950</w:t>
      </w:r>
      <w:r>
        <w:rPr>
          <w:rFonts w:hint="default" w:ascii="Times New Roman" w:hAnsi="Times New Roman" w:eastAsia="仿宋_GB2312" w:cs="Times New Roman"/>
          <w:color w:val="auto"/>
          <w:kern w:val="2"/>
          <w:sz w:val="32"/>
          <w:szCs w:val="32"/>
          <w:highlight w:val="none"/>
          <w:lang w:val="en-US" w:eastAsia="zh-CN" w:bidi="ar"/>
        </w:rPr>
        <w:t>万元/</w:t>
      </w:r>
      <w:r>
        <w:rPr>
          <w:rFonts w:hint="eastAsia" w:cs="Times New Roman"/>
          <w:color w:val="auto"/>
          <w:kern w:val="2"/>
          <w:sz w:val="32"/>
          <w:szCs w:val="32"/>
          <w:highlight w:val="none"/>
          <w:lang w:val="en-US" w:eastAsia="zh-CN" w:bidi="ar"/>
        </w:rPr>
        <w:t>公顷</w:t>
      </w:r>
      <w:r>
        <w:rPr>
          <w:rFonts w:hint="default" w:ascii="Times New Roman" w:hAnsi="Times New Roman" w:eastAsia="仿宋_GB2312" w:cs="Times New Roman"/>
          <w:color w:val="auto"/>
          <w:kern w:val="2"/>
          <w:sz w:val="32"/>
          <w:szCs w:val="32"/>
          <w:lang w:val="en-US" w:eastAsia="zh-CN" w:bidi="ar"/>
        </w:rPr>
        <w:t>，折算货币补偿</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80" w:lineRule="exact"/>
        <w:ind w:firstLine="634" w:firstLineChars="200"/>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（三）社会保障。</w:t>
      </w:r>
      <w:r>
        <w:rPr>
          <w:rFonts w:hint="eastAsia" w:ascii="仿宋_GB2312" w:hAnsi="仿宋_GB2312" w:eastAsia="仿宋_GB2312" w:cs="仿宋_GB2312"/>
          <w:color w:val="auto"/>
          <w:kern w:val="2"/>
          <w:sz w:val="32"/>
          <w:szCs w:val="32"/>
          <w:u w:val="none"/>
        </w:rPr>
        <w:t>该项目征收</w:t>
      </w:r>
      <w:r>
        <w:rPr>
          <w:rFonts w:hint="eastAsia" w:ascii="仿宋_GB2312" w:hAnsi="仿宋_GB2312" w:cs="仿宋_GB2312"/>
          <w:color w:val="auto"/>
          <w:kern w:val="2"/>
          <w:sz w:val="32"/>
          <w:szCs w:val="32"/>
          <w:u w:val="none"/>
          <w:lang w:val="en-US" w:eastAsia="zh-CN"/>
        </w:rPr>
        <w:t>炭步</w:t>
      </w:r>
      <w:r>
        <w:rPr>
          <w:rFonts w:hint="eastAsia" w:ascii="仿宋_GB2312" w:hAnsi="仿宋_GB2312" w:eastAsia="仿宋_GB2312" w:cs="仿宋_GB2312"/>
          <w:color w:val="auto"/>
          <w:kern w:val="2"/>
          <w:sz w:val="32"/>
          <w:szCs w:val="32"/>
          <w:u w:val="none"/>
        </w:rPr>
        <w:t>镇</w:t>
      </w:r>
      <w:r>
        <w:rPr>
          <w:rFonts w:hint="eastAsia" w:ascii="仿宋_GB2312" w:hAnsi="仿宋_GB2312" w:cs="仿宋_GB2312"/>
          <w:color w:val="auto"/>
          <w:kern w:val="2"/>
          <w:sz w:val="32"/>
          <w:szCs w:val="32"/>
          <w:u w:val="none"/>
          <w:lang w:val="en-US" w:eastAsia="zh-CN"/>
        </w:rPr>
        <w:t>茶塘</w:t>
      </w:r>
      <w:r>
        <w:rPr>
          <w:rFonts w:hint="eastAsia" w:ascii="仿宋_GB2312" w:hAnsi="仿宋_GB2312" w:eastAsia="仿宋_GB2312" w:cs="仿宋_GB2312"/>
          <w:color w:val="auto"/>
          <w:kern w:val="2"/>
          <w:sz w:val="32"/>
          <w:szCs w:val="32"/>
          <w:u w:val="none"/>
        </w:rPr>
        <w:t>村土地面积共</w:t>
      </w:r>
      <w:r>
        <w:rPr>
          <w:rFonts w:hint="eastAsia" w:cs="Times New Roman"/>
          <w:color w:val="auto"/>
          <w:kern w:val="2"/>
          <w:sz w:val="32"/>
          <w:szCs w:val="32"/>
          <w:u w:val="none"/>
          <w:lang w:val="en-US" w:eastAsia="zh-CN"/>
        </w:rPr>
        <w:t>7.1250</w:t>
      </w:r>
      <w:r>
        <w:rPr>
          <w:rFonts w:hint="eastAsia" w:ascii="仿宋_GB2312" w:hAnsi="仿宋_GB2312" w:eastAsia="仿宋_GB2312" w:cs="仿宋_GB2312"/>
          <w:color w:val="auto"/>
          <w:kern w:val="2"/>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eastAsia" w:cs="Times New Roman"/>
          <w:color w:val="auto"/>
          <w:kern w:val="2"/>
          <w:sz w:val="32"/>
          <w:szCs w:val="32"/>
          <w:lang w:val="en-US" w:eastAsia="zh-CN" w:bidi="ar"/>
        </w:rPr>
        <w:t>15.26</w:t>
      </w:r>
      <w:r>
        <w:rPr>
          <w:rFonts w:hint="default" w:ascii="Times New Roman" w:hAnsi="Times New Roman" w:eastAsia="仿宋_GB2312" w:cs="Times New Roman"/>
          <w:color w:val="auto"/>
          <w:kern w:val="2"/>
          <w:sz w:val="32"/>
          <w:szCs w:val="32"/>
          <w:lang w:val="en-US" w:eastAsia="zh-CN" w:bidi="ar"/>
        </w:rPr>
        <w:t>万元，预存入区</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6"/>
        <w:widowControl w:val="0"/>
        <w:numPr>
          <w:ilvl w:val="0"/>
          <w:numId w:val="0"/>
        </w:numPr>
        <w:spacing w:before="0" w:after="0" w:line="580" w:lineRule="exact"/>
        <w:ind w:right="111" w:rightChars="0"/>
        <w:jc w:val="both"/>
        <w:rPr>
          <w:rFonts w:hint="eastAsia" w:ascii="仿宋_GB2312" w:hAnsi="仿宋_GB2312" w:eastAsia="仿宋_GB2312" w:cs="仿宋_GB2312"/>
          <w:kern w:val="2"/>
          <w:sz w:val="32"/>
          <w:szCs w:val="32"/>
        </w:rPr>
      </w:pPr>
    </w:p>
    <w:p w14:paraId="6C80C101">
      <w:pPr>
        <w:pStyle w:val="6"/>
        <w:spacing w:before="0" w:line="580" w:lineRule="exact"/>
        <w:ind w:left="0" w:right="260"/>
        <w:jc w:val="right"/>
        <w:rPr>
          <w:rFonts w:hint="eastAsia" w:ascii="仿宋_GB2312" w:hAnsi="仿宋_GB2312" w:eastAsia="仿宋_GB2312" w:cs="仿宋_GB2312"/>
          <w:kern w:val="2"/>
          <w:sz w:val="32"/>
          <w:szCs w:val="32"/>
        </w:rPr>
      </w:pPr>
      <w:bookmarkStart w:id="0" w:name="_GoBack"/>
      <w:bookmarkEnd w:id="0"/>
    </w:p>
    <w:p w14:paraId="04F09EC6">
      <w:pPr>
        <w:pStyle w:val="6"/>
        <w:spacing w:before="0" w:line="580" w:lineRule="exact"/>
        <w:ind w:left="0" w:right="260"/>
        <w:jc w:val="right"/>
        <w:rPr>
          <w:rFonts w:hint="eastAsia" w:ascii="仿宋_GB2312" w:hAnsi="仿宋_GB2312" w:eastAsia="仿宋_GB2312" w:cs="仿宋_GB2312"/>
          <w:kern w:val="2"/>
          <w:sz w:val="32"/>
          <w:szCs w:val="32"/>
        </w:rPr>
      </w:pPr>
    </w:p>
    <w:p w14:paraId="2E72DDC4">
      <w:pPr>
        <w:pStyle w:val="6"/>
        <w:spacing w:before="0" w:line="580"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58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8</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8</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5C683E"/>
    <w:rsid w:val="04654DC4"/>
    <w:rsid w:val="068D1D6A"/>
    <w:rsid w:val="07785C89"/>
    <w:rsid w:val="0822151D"/>
    <w:rsid w:val="08682950"/>
    <w:rsid w:val="08D87341"/>
    <w:rsid w:val="0BC12118"/>
    <w:rsid w:val="0C890300"/>
    <w:rsid w:val="0D5A4B28"/>
    <w:rsid w:val="0D630F89"/>
    <w:rsid w:val="12A229C4"/>
    <w:rsid w:val="161B7A15"/>
    <w:rsid w:val="162B00EE"/>
    <w:rsid w:val="16E50DE0"/>
    <w:rsid w:val="19977D8A"/>
    <w:rsid w:val="2076109D"/>
    <w:rsid w:val="219E39B8"/>
    <w:rsid w:val="242C1221"/>
    <w:rsid w:val="25477C36"/>
    <w:rsid w:val="29C73F17"/>
    <w:rsid w:val="2BE439BC"/>
    <w:rsid w:val="2F2F33BB"/>
    <w:rsid w:val="33085EB0"/>
    <w:rsid w:val="34394804"/>
    <w:rsid w:val="34CC172C"/>
    <w:rsid w:val="39A42B0C"/>
    <w:rsid w:val="3B7F12F6"/>
    <w:rsid w:val="3B8E0546"/>
    <w:rsid w:val="3D4536F5"/>
    <w:rsid w:val="40AD4EC0"/>
    <w:rsid w:val="41B9621C"/>
    <w:rsid w:val="46753A21"/>
    <w:rsid w:val="47EA5951"/>
    <w:rsid w:val="4CF26B71"/>
    <w:rsid w:val="4D1F0243"/>
    <w:rsid w:val="4FDC68BF"/>
    <w:rsid w:val="50186B3E"/>
    <w:rsid w:val="505F6CEB"/>
    <w:rsid w:val="54382FF3"/>
    <w:rsid w:val="54E02594"/>
    <w:rsid w:val="56C10604"/>
    <w:rsid w:val="5E8179E9"/>
    <w:rsid w:val="5EF369C2"/>
    <w:rsid w:val="5F7D66C9"/>
    <w:rsid w:val="60ED7905"/>
    <w:rsid w:val="629952F0"/>
    <w:rsid w:val="63714235"/>
    <w:rsid w:val="6488303F"/>
    <w:rsid w:val="64ED2421"/>
    <w:rsid w:val="664B18ED"/>
    <w:rsid w:val="671A7149"/>
    <w:rsid w:val="6DB30687"/>
    <w:rsid w:val="6F8C3791"/>
    <w:rsid w:val="708E5910"/>
    <w:rsid w:val="72F729B5"/>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1328</Words>
  <Characters>1420</Characters>
  <TotalTime>26</TotalTime>
  <ScaleCrop>false</ScaleCrop>
  <LinksUpToDate>false</LinksUpToDate>
  <CharactersWithSpaces>1472</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2025-08-11T07:37:48Z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2052-12.1.0.22483</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