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104</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139C3C72">
      <w:pPr>
        <w:spacing w:line="560" w:lineRule="exact"/>
        <w:jc w:val="center"/>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广东省人民政府关于广州市花都区2024年度第</w:t>
      </w:r>
      <w:r>
        <w:rPr>
          <w:rFonts w:hint="eastAsia" w:ascii="方正小标宋简体" w:hAnsi="方正小标宋简体" w:eastAsia="方正小标宋简体" w:cs="方正小标宋简体"/>
          <w:bCs/>
          <w:color w:val="auto"/>
          <w:sz w:val="44"/>
          <w:szCs w:val="44"/>
          <w:lang w:eastAsia="zh-CN"/>
        </w:rPr>
        <w:t>三十六</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年度第三十六批次城镇建设用地土地征收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39</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0.5229</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新华街莲塘村二村经济合作社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0.0477公顷</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0.0477公顷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，同时使用上述有关村集体建设用地0.4752公顷，以上合计0.5229公顷集体土地一并办理征地手续。</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0.5229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504725169</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bookmarkStart w:id="0" w:name="_GoBack"/>
      <w:bookmarkEnd w:id="0"/>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BE3A38"/>
    <w:rsid w:val="24491BE9"/>
    <w:rsid w:val="26AD3E24"/>
    <w:rsid w:val="2E6F1820"/>
    <w:rsid w:val="30534F1B"/>
    <w:rsid w:val="33935FAE"/>
    <w:rsid w:val="38E15352"/>
    <w:rsid w:val="3BBA7AA0"/>
    <w:rsid w:val="3E6E486D"/>
    <w:rsid w:val="3EA242D1"/>
    <w:rsid w:val="407B1783"/>
    <w:rsid w:val="429C3C8E"/>
    <w:rsid w:val="44481963"/>
    <w:rsid w:val="449D58A0"/>
    <w:rsid w:val="483A73C5"/>
    <w:rsid w:val="4F617A2B"/>
    <w:rsid w:val="506F56B2"/>
    <w:rsid w:val="51C56C38"/>
    <w:rsid w:val="522D01E0"/>
    <w:rsid w:val="555846C7"/>
    <w:rsid w:val="56A7023F"/>
    <w:rsid w:val="5D293D56"/>
    <w:rsid w:val="67B63BB5"/>
    <w:rsid w:val="69B5367B"/>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2025-08-27T09:35:28Z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