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4A22">
      <w:pPr>
        <w:keepNext w:val="0"/>
        <w:keepLines w:val="0"/>
        <w:pageBreakBefore w:val="0"/>
        <w:widowControl w:val="0"/>
        <w:kinsoku/>
        <w:overflowPunct/>
        <w:topLinePunct w:val="0"/>
        <w:autoSpaceDE/>
        <w:autoSpaceDN/>
        <w:bidi w:val="0"/>
        <w:adjustRightInd/>
        <w:snapToGrid/>
        <w:spacing w:before="0" w:line="560" w:lineRule="exact"/>
        <w:ind w:left="2505" w:right="0" w:firstLine="0"/>
        <w:jc w:val="left"/>
        <w:textAlignment w:val="auto"/>
        <w:rPr>
          <w:rFonts w:hint="default" w:ascii="Times New Roman" w:hAnsi="Times New Roman" w:eastAsia="方正小标宋简体" w:cs="Times New Roman"/>
          <w:sz w:val="44"/>
          <w:szCs w:val="44"/>
        </w:rPr>
      </w:pPr>
    </w:p>
    <w:p w14:paraId="1CF55C9C">
      <w:pPr>
        <w:keepNext w:val="0"/>
        <w:keepLines w:val="0"/>
        <w:pageBreakBefore w:val="0"/>
        <w:widowControl w:val="0"/>
        <w:kinsoku/>
        <w:overflowPunct/>
        <w:topLinePunct w:val="0"/>
        <w:autoSpaceDE/>
        <w:autoSpaceDN/>
        <w:bidi w:val="0"/>
        <w:adjustRightInd/>
        <w:snapToGrid/>
        <w:spacing w:before="0" w:line="560" w:lineRule="exact"/>
        <w:ind w:left="2505" w:right="0" w:firstLine="0"/>
        <w:jc w:val="left"/>
        <w:textAlignment w:val="auto"/>
        <w:rPr>
          <w:rFonts w:hint="default" w:ascii="Times New Roman" w:hAnsi="Times New Roman" w:eastAsia="方正小标宋简体" w:cs="Times New Roman"/>
          <w:sz w:val="44"/>
          <w:szCs w:val="44"/>
        </w:rPr>
      </w:pPr>
    </w:p>
    <w:p w14:paraId="5B97EF91">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小标宋简体" w:cs="Times New Roman"/>
          <w:sz w:val="44"/>
          <w:szCs w:val="44"/>
        </w:rPr>
      </w:pPr>
    </w:p>
    <w:p w14:paraId="3C879334">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2025年度第十九批次</w:t>
      </w:r>
    </w:p>
    <w:p w14:paraId="522EFB32">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val="en-US" w:eastAsia="zh-CN"/>
        </w:rPr>
        <w:t>金狮大道南二地块</w:t>
      </w:r>
      <w:r>
        <w:rPr>
          <w:rFonts w:ascii="Times New Roman" w:hAnsi="Times New Roman" w:eastAsia="方正小标宋简体" w:cs="Times New Roman"/>
          <w:sz w:val="44"/>
          <w:szCs w:val="44"/>
        </w:rPr>
        <w:t>）</w:t>
      </w:r>
    </w:p>
    <w:p w14:paraId="2C8EA882">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征地补偿安置方案</w:t>
      </w:r>
    </w:p>
    <w:p w14:paraId="470FBD40">
      <w:pPr>
        <w:pStyle w:val="5"/>
        <w:keepNext w:val="0"/>
        <w:keepLines w:val="0"/>
        <w:pageBreakBefore w:val="0"/>
        <w:widowControl w:val="0"/>
        <w:kinsoku/>
        <w:wordWrap w:val="0"/>
        <w:overflowPunct/>
        <w:topLinePunct w:val="0"/>
        <w:autoSpaceDE/>
        <w:autoSpaceDN/>
        <w:bidi w:val="0"/>
        <w:adjustRightInd/>
        <w:snapToGrid w:val="0"/>
        <w:spacing w:before="0" w:line="240" w:lineRule="atLeast"/>
        <w:ind w:left="0" w:right="0" w:firstLine="680" w:firstLineChars="200"/>
        <w:jc w:val="both"/>
        <w:textAlignment w:val="auto"/>
        <w:rPr>
          <w:rFonts w:hint="eastAsia" w:ascii="Times New Roman" w:hAnsi="Times New Roman" w:eastAsia="Adobe 黑体 Std R" w:cs="Times New Roman"/>
          <w:sz w:val="34"/>
          <w:szCs w:val="34"/>
          <w:lang w:eastAsia="zh-CN"/>
        </w:rPr>
      </w:pPr>
    </w:p>
    <w:p w14:paraId="29BC23BE">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eastAsia" w:ascii="Times New Roman" w:hAnsi="Times New Roman" w:eastAsia="仿宋_GB2312" w:cs="Times New Roman"/>
          <w:spacing w:val="-20"/>
          <w:sz w:val="32"/>
          <w:szCs w:val="32"/>
          <w:lang w:val="en-US" w:eastAsia="zh-CN"/>
        </w:rPr>
        <w:t>狮岭镇</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r>
        <w:rPr>
          <w:rFonts w:hint="default" w:ascii="Times New Roman" w:hAnsi="Times New Roman" w:eastAsia="仿宋_GB2312" w:cs="Times New Roman"/>
          <w:spacing w:val="5"/>
          <w:sz w:val="32"/>
          <w:szCs w:val="32"/>
          <w:lang w:eastAsia="zh-CN"/>
        </w:rPr>
        <w:t>该区</w:t>
      </w:r>
      <w:r>
        <w:rPr>
          <w:rFonts w:hint="eastAsia" w:ascii="Times New Roman" w:hAnsi="Times New Roman" w:eastAsia="仿宋_GB2312" w:cs="Times New Roman"/>
          <w:spacing w:val="5"/>
          <w:sz w:val="32"/>
          <w:szCs w:val="32"/>
          <w:lang w:eastAsia="zh-CN"/>
        </w:rPr>
        <w:t>狮岭镇新扬经济联合社、新扬村扬氏塘经济合作社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0.2953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75000BE0">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080B4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pacing w:val="5"/>
          <w:sz w:val="32"/>
          <w:szCs w:val="32"/>
          <w:lang w:eastAsia="zh-CN"/>
        </w:rPr>
        <w:t>狮岭镇新扬经济联合社、新扬村扬氏塘经济合作社</w:t>
      </w:r>
      <w:r>
        <w:rPr>
          <w:rFonts w:hint="default" w:ascii="Times New Roman" w:hAnsi="Times New Roman" w:eastAsia="仿宋_GB2312" w:cs="Times New Roman"/>
          <w:sz w:val="32"/>
          <w:szCs w:val="32"/>
        </w:rPr>
        <w:t>范围内。实际征收土地范围以最终批准文件为准。</w:t>
      </w:r>
    </w:p>
    <w:p w14:paraId="362BF9B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bCs/>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p w14:paraId="5F3FC73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拟征收广州市花都区</w:t>
      </w:r>
      <w:r>
        <w:rPr>
          <w:rFonts w:hint="eastAsia" w:ascii="Times New Roman" w:hAnsi="Times New Roman" w:eastAsia="仿宋_GB2312" w:cs="Times New Roman"/>
          <w:spacing w:val="5"/>
          <w:sz w:val="32"/>
          <w:szCs w:val="32"/>
          <w:lang w:eastAsia="zh-CN"/>
        </w:rPr>
        <w:t>狮岭镇新扬经济联合社、新扬村扬氏塘经济合作社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0.2953</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4.4295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，均为建设用地，不涉及农用地和未利用地。</w:t>
      </w:r>
    </w:p>
    <w:p w14:paraId="144AC0C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万元/公顷，安置补助标准为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（二）农村村民住宅补偿</w:t>
      </w:r>
      <w:r>
        <w:rPr>
          <w:rFonts w:hint="default" w:ascii="Times New Roman" w:hAnsi="Times New Roman" w:eastAsia="楷体" w:cs="Times New Roman"/>
          <w:sz w:val="32"/>
          <w:szCs w:val="32"/>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395278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青苗及其他地上附着物补偿</w:t>
      </w:r>
      <w:r>
        <w:rPr>
          <w:rFonts w:hint="default" w:ascii="Times New Roman" w:hAnsi="Times New Roman" w:eastAsia="楷体" w:cs="Times New Roman"/>
          <w:sz w:val="32"/>
          <w:szCs w:val="32"/>
          <w:lang w:eastAsia="zh-CN"/>
        </w:rPr>
        <w:t>。</w:t>
      </w:r>
    </w:p>
    <w:p w14:paraId="62EC31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color w:val="auto"/>
          <w:sz w:val="32"/>
          <w:szCs w:val="32"/>
          <w:highlight w:val="none"/>
          <w:lang w:val="en-US" w:eastAsia="zh-CN"/>
        </w:rPr>
        <w:t>青苗补偿及其他地上附着物</w:t>
      </w:r>
      <w:r>
        <w:rPr>
          <w:rFonts w:hint="default" w:ascii="Times New Roman" w:hAnsi="Times New Roman" w:eastAsia="仿宋_GB2312" w:cs="Times New Roman"/>
          <w:color w:val="auto"/>
          <w:sz w:val="32"/>
          <w:szCs w:val="32"/>
          <w:highlight w:val="none"/>
          <w:lang w:eastAsia="zh-CN"/>
        </w:rPr>
        <w:t>参照《广州</w:t>
      </w:r>
      <w:r>
        <w:rPr>
          <w:rFonts w:hint="default" w:ascii="Times New Roman" w:hAnsi="Times New Roman" w:eastAsia="仿宋_GB2312" w:cs="Times New Roman"/>
          <w:sz w:val="32"/>
          <w:szCs w:val="32"/>
          <w:lang w:eastAsia="zh-CN"/>
        </w:rPr>
        <w:t>市花都区人民政府办公室印发花都区片区征地包干补偿工作方案的通知》（花府办〔2016〕12号）</w:t>
      </w:r>
      <w:r>
        <w:rPr>
          <w:rFonts w:hint="eastAsia" w:eastAsia="仿宋_GB2312"/>
          <w:sz w:val="32"/>
        </w:rPr>
        <w:t>的规定执行</w:t>
      </w:r>
      <w:r>
        <w:rPr>
          <w:rFonts w:hint="default" w:ascii="Times New Roman" w:hAnsi="Times New Roman" w:eastAsia="仿宋_GB2312" w:cs="Times New Roman"/>
          <w:sz w:val="32"/>
          <w:szCs w:val="32"/>
          <w:lang w:eastAsia="zh-CN"/>
        </w:rPr>
        <w:t>。</w:t>
      </w:r>
    </w:p>
    <w:p w14:paraId="62B7BEB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（一）货币安置。</w:t>
      </w:r>
      <w:r>
        <w:rPr>
          <w:rFonts w:hint="default" w:ascii="Times New Roman" w:hAnsi="Times New Roman" w:eastAsia="仿宋_GB2312" w:cs="Times New Roman"/>
          <w:sz w:val="32"/>
          <w:szCs w:val="32"/>
        </w:rPr>
        <w:t>所需费用已包含在</w:t>
      </w:r>
      <w:r>
        <w:rPr>
          <w:rFonts w:hint="eastAsia" w:ascii="Times New Roman" w:hAnsi="Times New Roman" w:eastAsia="仿宋_GB2312" w:cs="Times New Roman"/>
          <w:sz w:val="32"/>
          <w:szCs w:val="32"/>
        </w:rPr>
        <w:t>土地补偿费与安置补助费</w:t>
      </w:r>
      <w:r>
        <w:rPr>
          <w:rFonts w:hint="default" w:ascii="Times New Roman" w:hAnsi="Times New Roman" w:eastAsia="仿宋_GB2312" w:cs="Times New Roman"/>
          <w:sz w:val="32"/>
          <w:szCs w:val="32"/>
        </w:rPr>
        <w:t>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楷体"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ascii="Times New Roman" w:hAnsi="Times New Roman" w:eastAsia="仿宋_GB2312" w:cs="Times New Roman"/>
          <w:sz w:val="32"/>
          <w:szCs w:val="32"/>
        </w:rPr>
        <w:t>相关</w:t>
      </w:r>
      <w:r>
        <w:rPr>
          <w:rFonts w:hint="default" w:ascii="Times New Roman" w:hAnsi="Times New Roman" w:eastAsia="仿宋_GB2312" w:cs="Times New Roman"/>
          <w:color w:val="auto"/>
          <w:kern w:val="2"/>
          <w:sz w:val="32"/>
          <w:szCs w:val="32"/>
          <w:lang w:val="en-US" w:eastAsia="zh-CN" w:bidi="ar"/>
        </w:rPr>
        <w:t>规定，按实际征收土地面积的</w:t>
      </w:r>
      <w:r>
        <w:rPr>
          <w:rFonts w:hint="default"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w:t>
      </w:r>
      <w:r>
        <w:rPr>
          <w:rFonts w:ascii="Times New Roman" w:hAnsi="Times New Roman" w:eastAsia="仿宋_GB2312" w:cs="Times New Roman"/>
          <w:sz w:val="32"/>
          <w:szCs w:val="32"/>
        </w:rPr>
        <w:t>安排留用地</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按照87.3333万元/亩</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
        </w:rPr>
        <w:t>折算货币补偿</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楷体" w:cs="Times New Roman"/>
          <w:color w:val="auto"/>
          <w:sz w:val="32"/>
          <w:szCs w:val="32"/>
          <w:lang w:val="en-US" w:eastAsia="zh-CN"/>
        </w:rPr>
        <w:t>（三）社会保障。</w:t>
      </w:r>
      <w:r>
        <w:rPr>
          <w:rFonts w:hint="default" w:ascii="Times New Roman" w:hAnsi="Times New Roman" w:eastAsia="仿宋_GB2312" w:cs="Times New Roman"/>
          <w:color w:val="auto"/>
          <w:sz w:val="32"/>
          <w:szCs w:val="32"/>
          <w:highlight w:val="none"/>
          <w:u w:val="none"/>
        </w:rPr>
        <w:t>该项目征收</w:t>
      </w:r>
      <w:r>
        <w:rPr>
          <w:rFonts w:hint="eastAsia" w:ascii="Times New Roman" w:hAnsi="Times New Roman" w:eastAsia="仿宋_GB2312" w:cs="Times New Roman"/>
          <w:color w:val="auto"/>
          <w:sz w:val="32"/>
          <w:szCs w:val="32"/>
          <w:highlight w:val="none"/>
          <w:u w:val="none"/>
          <w:lang w:eastAsia="zh-CN"/>
        </w:rPr>
        <w:t>狮岭镇新扬村</w:t>
      </w:r>
      <w:r>
        <w:rPr>
          <w:rFonts w:hint="default" w:ascii="Times New Roman" w:hAnsi="Times New Roman" w:eastAsia="仿宋_GB2312" w:cs="Times New Roman"/>
          <w:color w:val="auto"/>
          <w:sz w:val="32"/>
          <w:szCs w:val="32"/>
          <w:highlight w:val="none"/>
          <w:u w:val="none"/>
        </w:rPr>
        <w:t>土地面积共</w:t>
      </w:r>
      <w:r>
        <w:rPr>
          <w:rFonts w:hint="eastAsia" w:ascii="Times New Roman" w:hAnsi="Times New Roman" w:eastAsia="仿宋_GB2312" w:cs="Times New Roman"/>
          <w:color w:val="auto"/>
          <w:sz w:val="32"/>
          <w:szCs w:val="32"/>
          <w:highlight w:val="none"/>
          <w:u w:val="none"/>
          <w:lang w:val="en-US" w:eastAsia="zh-CN"/>
        </w:rPr>
        <w:t>4.4295</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w:t>
      </w:r>
      <w:r>
        <w:rPr>
          <w:rFonts w:hint="default" w:ascii="Times New Roman" w:hAnsi="Times New Roman" w:eastAsia="仿宋_GB2312" w:cs="Times New Roman"/>
          <w:color w:val="auto"/>
          <w:kern w:val="2"/>
          <w:sz w:val="32"/>
          <w:szCs w:val="32"/>
          <w:highlight w:val="none"/>
          <w:lang w:val="en-US" w:eastAsia="zh-CN" w:bidi="ar"/>
        </w:rPr>
        <w:t>保费共</w:t>
      </w:r>
      <w:r>
        <w:rPr>
          <w:rFonts w:hint="eastAsia" w:ascii="Times New Roman" w:hAnsi="Times New Roman" w:eastAsia="仿宋_GB2312" w:cs="Times New Roman"/>
          <w:color w:val="auto"/>
          <w:kern w:val="2"/>
          <w:sz w:val="32"/>
          <w:szCs w:val="32"/>
          <w:highlight w:val="none"/>
          <w:lang w:val="en-US" w:eastAsia="zh-CN" w:bidi="ar"/>
        </w:rPr>
        <w:t>9.49</w:t>
      </w:r>
      <w:r>
        <w:rPr>
          <w:rFonts w:hint="default" w:ascii="Times New Roman" w:hAnsi="Times New Roman" w:eastAsia="仿宋_GB2312" w:cs="Times New Roman"/>
          <w:color w:val="auto"/>
          <w:kern w:val="2"/>
          <w:sz w:val="32"/>
          <w:szCs w:val="32"/>
          <w:highlight w:val="none"/>
          <w:lang w:val="en-US" w:eastAsia="zh-CN" w:bidi="ar"/>
        </w:rPr>
        <w:t>万元</w:t>
      </w:r>
      <w:r>
        <w:rPr>
          <w:rFonts w:hint="default" w:ascii="Times New Roman" w:hAnsi="Times New Roman" w:eastAsia="仿宋_GB2312" w:cs="Times New Roman"/>
          <w:color w:val="auto"/>
          <w:kern w:val="2"/>
          <w:sz w:val="32"/>
          <w:szCs w:val="32"/>
          <w:lang w:val="en-US" w:eastAsia="zh-CN" w:bidi="ar"/>
        </w:rPr>
        <w:t>，预存入区“收缴被征地农民养老保障资金过渡户”，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6C80C101">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04F09EC6">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2E72DDC4">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76397E1A">
      <w:pPr>
        <w:pStyle w:val="5"/>
        <w:keepNext w:val="0"/>
        <w:keepLines w:val="0"/>
        <w:pageBreakBefore w:val="0"/>
        <w:widowControl w:val="0"/>
        <w:kinsoku/>
        <w:overflowPunct/>
        <w:topLinePunct w:val="0"/>
        <w:autoSpaceDE/>
        <w:autoSpaceDN/>
        <w:bidi w:val="0"/>
        <w:adjustRightInd/>
        <w:snapToGrid/>
        <w:spacing w:line="560" w:lineRule="exact"/>
        <w:ind w:left="0" w:leftChars="0" w:right="260" w:firstLine="3078" w:firstLineChars="962"/>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24</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rPr>
        <w:sz w:val="22"/>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6369A6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3135F3"/>
    <w:rsid w:val="022A33E1"/>
    <w:rsid w:val="04654DC4"/>
    <w:rsid w:val="0822151D"/>
    <w:rsid w:val="08682950"/>
    <w:rsid w:val="08D87341"/>
    <w:rsid w:val="0B57784C"/>
    <w:rsid w:val="0BC12118"/>
    <w:rsid w:val="0C890300"/>
    <w:rsid w:val="0D5A4B28"/>
    <w:rsid w:val="0D630F89"/>
    <w:rsid w:val="161B7A15"/>
    <w:rsid w:val="162B00EE"/>
    <w:rsid w:val="16E50DE0"/>
    <w:rsid w:val="19977D8A"/>
    <w:rsid w:val="219E39B8"/>
    <w:rsid w:val="25477C36"/>
    <w:rsid w:val="29C73F17"/>
    <w:rsid w:val="2B8341F7"/>
    <w:rsid w:val="2BE439BC"/>
    <w:rsid w:val="2C0901E2"/>
    <w:rsid w:val="2F2F33BB"/>
    <w:rsid w:val="33085EB0"/>
    <w:rsid w:val="34394804"/>
    <w:rsid w:val="348116ED"/>
    <w:rsid w:val="34CC172C"/>
    <w:rsid w:val="35683DE9"/>
    <w:rsid w:val="39A42B0C"/>
    <w:rsid w:val="3A3E7B93"/>
    <w:rsid w:val="3B8E0546"/>
    <w:rsid w:val="3D4536F5"/>
    <w:rsid w:val="46753A21"/>
    <w:rsid w:val="47EA5951"/>
    <w:rsid w:val="4E1B78BE"/>
    <w:rsid w:val="4FDC68BF"/>
    <w:rsid w:val="505F6CEB"/>
    <w:rsid w:val="50FA24A1"/>
    <w:rsid w:val="515D6673"/>
    <w:rsid w:val="54382FF3"/>
    <w:rsid w:val="54E02594"/>
    <w:rsid w:val="5AF63665"/>
    <w:rsid w:val="5B817536"/>
    <w:rsid w:val="5EF369C2"/>
    <w:rsid w:val="5F7D66C9"/>
    <w:rsid w:val="60ED7905"/>
    <w:rsid w:val="63714235"/>
    <w:rsid w:val="64076D42"/>
    <w:rsid w:val="6488303F"/>
    <w:rsid w:val="64ED2421"/>
    <w:rsid w:val="671A7149"/>
    <w:rsid w:val="677705DC"/>
    <w:rsid w:val="681F46DC"/>
    <w:rsid w:val="6D670368"/>
    <w:rsid w:val="6DB30687"/>
    <w:rsid w:val="6EBF246D"/>
    <w:rsid w:val="6F8C3791"/>
    <w:rsid w:val="708E5910"/>
    <w:rsid w:val="747B57C1"/>
    <w:rsid w:val="75B44CF4"/>
    <w:rsid w:val="768B3F84"/>
    <w:rsid w:val="76910A96"/>
    <w:rsid w:val="78EA6370"/>
    <w:rsid w:val="7A716269"/>
    <w:rsid w:val="7ADA6631"/>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TotalTime>17</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2025-04-24T03:37:00Z</cp:lastPrinted>
  <dcterms:modified xsi:type="dcterms:W3CDTF">2025-04-27T02:36:06Z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