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C5D9">
      <w:pPr>
        <w:spacing w:before="0" w:line="560" w:lineRule="exact"/>
        <w:ind w:left="0" w:right="0" w:firstLine="0"/>
        <w:jc w:val="center"/>
        <w:rPr>
          <w:kern w:val="2"/>
          <w:highlight w:val="none"/>
        </w:rPr>
      </w:pPr>
    </w:p>
    <w:p w14:paraId="5EB36456">
      <w:pPr>
        <w:spacing w:before="0" w:line="560" w:lineRule="exact"/>
        <w:ind w:left="0" w:right="0" w:firstLine="0"/>
        <w:jc w:val="center"/>
        <w:rPr>
          <w:kern w:val="2"/>
          <w:highlight w:val="none"/>
        </w:rPr>
      </w:pPr>
    </w:p>
    <w:p w14:paraId="1ED11A53">
      <w:pPr>
        <w:spacing w:before="0" w:line="560" w:lineRule="exact"/>
        <w:ind w:left="0" w:right="0" w:firstLine="0"/>
        <w:jc w:val="center"/>
        <w:rPr>
          <w:rFonts w:hint="eastAsia" w:ascii="Times New Roman" w:hAnsi="Times New Roman" w:eastAsia="方正小标宋简体" w:cs="方正小标宋简体"/>
          <w:kern w:val="2"/>
          <w:sz w:val="44"/>
          <w:szCs w:val="44"/>
          <w:highlight w:val="none"/>
          <w:lang w:val="en-US" w:eastAsia="zh-CN"/>
        </w:rPr>
      </w:pPr>
      <w:r>
        <w:rPr>
          <w:rFonts w:hint="eastAsia" w:ascii="Times New Roman" w:hAnsi="Times New Roman" w:eastAsia="方正小标宋简体" w:cs="方正小标宋简体"/>
          <w:kern w:val="2"/>
          <w:sz w:val="44"/>
          <w:szCs w:val="44"/>
          <w:highlight w:val="none"/>
          <w:lang w:val="en-US" w:eastAsia="zh-CN"/>
        </w:rPr>
        <w:t>广州市花都区2025年度第三十八批次城镇</w:t>
      </w:r>
    </w:p>
    <w:p w14:paraId="514820DF">
      <w:pPr>
        <w:spacing w:before="0" w:line="560" w:lineRule="exact"/>
        <w:ind w:left="0" w:right="0" w:firstLine="0"/>
        <w:jc w:val="center"/>
        <w:rPr>
          <w:rFonts w:hint="eastAsia" w:ascii="Times New Roman" w:hAnsi="Times New Roman" w:eastAsia="方正小标宋简体" w:cs="方正小标宋简体"/>
          <w:kern w:val="2"/>
          <w:sz w:val="44"/>
          <w:szCs w:val="44"/>
          <w:highlight w:val="none"/>
          <w:lang w:val="en-US" w:eastAsia="zh-CN"/>
        </w:rPr>
      </w:pPr>
      <w:r>
        <w:rPr>
          <w:rFonts w:hint="eastAsia" w:ascii="Times New Roman" w:hAnsi="Times New Roman" w:eastAsia="方正小标宋简体" w:cs="方正小标宋简体"/>
          <w:kern w:val="2"/>
          <w:sz w:val="44"/>
          <w:szCs w:val="44"/>
          <w:highlight w:val="none"/>
          <w:lang w:val="en-US" w:eastAsia="zh-CN"/>
        </w:rPr>
        <w:t>建设用地</w:t>
      </w:r>
      <w:r>
        <w:rPr>
          <w:rFonts w:hint="eastAsia" w:ascii="仿宋_GB2312" w:hAnsi="仿宋_GB2312" w:eastAsia="仿宋_GB2312" w:cs="仿宋_GB2312"/>
          <w:kern w:val="2"/>
          <w:sz w:val="44"/>
          <w:szCs w:val="44"/>
          <w:highlight w:val="none"/>
          <w:lang w:val="en-US" w:eastAsia="zh-CN"/>
        </w:rPr>
        <w:t>[</w:t>
      </w:r>
      <w:r>
        <w:rPr>
          <w:rFonts w:hint="eastAsia" w:ascii="Times New Roman" w:hAnsi="Times New Roman" w:eastAsia="方正小标宋简体" w:cs="方正小标宋简体"/>
          <w:kern w:val="2"/>
          <w:sz w:val="44"/>
          <w:szCs w:val="44"/>
          <w:highlight w:val="none"/>
          <w:lang w:val="en-US" w:eastAsia="zh-CN"/>
        </w:rPr>
        <w:t>三期园区民主西路周边道路工程（安华路〔民湖路至启程路〕南半幅建设</w:t>
      </w:r>
    </w:p>
    <w:p w14:paraId="2C8EA882">
      <w:pPr>
        <w:spacing w:before="0" w:line="560" w:lineRule="exact"/>
        <w:ind w:left="0" w:right="0" w:firstLine="0"/>
        <w:jc w:val="center"/>
        <w:rPr>
          <w:rFonts w:hint="eastAsia" w:ascii="Times New Roman" w:hAnsi="Times New Roman" w:eastAsia="方正小标宋简体" w:cs="方正小标宋简体"/>
          <w:kern w:val="2"/>
          <w:sz w:val="44"/>
          <w:szCs w:val="44"/>
          <w:highlight w:val="none"/>
        </w:rPr>
      </w:pPr>
      <w:r>
        <w:rPr>
          <w:rFonts w:hint="eastAsia" w:ascii="Times New Roman" w:hAnsi="Times New Roman" w:eastAsia="方正小标宋简体" w:cs="方正小标宋简体"/>
          <w:kern w:val="2"/>
          <w:sz w:val="44"/>
          <w:szCs w:val="44"/>
          <w:highlight w:val="none"/>
          <w:lang w:val="en-US" w:eastAsia="zh-CN"/>
        </w:rPr>
        <w:t>工程）</w:t>
      </w:r>
      <w:r>
        <w:rPr>
          <w:rFonts w:hint="eastAsia" w:ascii="仿宋_GB2312" w:hAnsi="仿宋_GB2312" w:eastAsia="仿宋_GB2312" w:cs="仿宋_GB2312"/>
          <w:kern w:val="2"/>
          <w:sz w:val="44"/>
          <w:szCs w:val="44"/>
          <w:highlight w:val="none"/>
          <w:lang w:val="en-US" w:eastAsia="zh-CN"/>
        </w:rPr>
        <w:t>]</w:t>
      </w:r>
      <w:r>
        <w:rPr>
          <w:rFonts w:hint="eastAsia" w:ascii="Times New Roman" w:hAnsi="Times New Roman" w:eastAsia="方正小标宋简体" w:cs="方正小标宋简体"/>
          <w:kern w:val="2"/>
          <w:sz w:val="44"/>
          <w:szCs w:val="44"/>
          <w:highlight w:val="none"/>
          <w:lang w:val="en-US" w:eastAsia="zh-CN"/>
        </w:rPr>
        <w:t>的</w:t>
      </w:r>
      <w:r>
        <w:rPr>
          <w:rFonts w:hint="eastAsia" w:ascii="Times New Roman" w:hAnsi="Times New Roman" w:eastAsia="方正小标宋简体" w:cs="方正小标宋简体"/>
          <w:kern w:val="2"/>
          <w:sz w:val="44"/>
          <w:szCs w:val="44"/>
          <w:highlight w:val="none"/>
        </w:rPr>
        <w:t>征地补偿安置方案</w:t>
      </w:r>
    </w:p>
    <w:p w14:paraId="470FBD40">
      <w:pPr>
        <w:spacing w:before="0" w:line="560" w:lineRule="exact"/>
        <w:rPr>
          <w:rFonts w:ascii="Times New Roman" w:hAnsi="Times New Roman" w:eastAsia="Adobe 黑体 Std R" w:cs="Adobe 黑体 Std R"/>
          <w:kern w:val="2"/>
          <w:sz w:val="34"/>
          <w:szCs w:val="34"/>
          <w:highlight w:val="none"/>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为实施广州市</w:t>
      </w:r>
      <w:r>
        <w:rPr>
          <w:rFonts w:hint="eastAsia" w:ascii="Times New Roman" w:hAnsi="Times New Roman" w:eastAsia="仿宋_GB2312" w:cs="仿宋_GB2312"/>
          <w:spacing w:val="0"/>
          <w:kern w:val="2"/>
          <w:sz w:val="32"/>
          <w:szCs w:val="32"/>
          <w:highlight w:val="none"/>
          <w:lang w:eastAsia="zh-CN"/>
        </w:rPr>
        <w:t>花都</w:t>
      </w:r>
      <w:r>
        <w:rPr>
          <w:rFonts w:hint="eastAsia" w:ascii="Times New Roman" w:hAnsi="Times New Roman" w:eastAsia="仿宋_GB2312" w:cs="仿宋_GB2312"/>
          <w:kern w:val="2"/>
          <w:sz w:val="32"/>
          <w:szCs w:val="32"/>
          <w:highlight w:val="none"/>
        </w:rPr>
        <w:t>区</w:t>
      </w:r>
      <w:r>
        <w:rPr>
          <w:rFonts w:hint="eastAsia" w:ascii="Times New Roman" w:hAnsi="Times New Roman" w:eastAsia="仿宋_GB2312" w:cs="仿宋_GB2312"/>
          <w:spacing w:val="0"/>
          <w:kern w:val="2"/>
          <w:sz w:val="32"/>
          <w:szCs w:val="32"/>
          <w:highlight w:val="none"/>
          <w:lang w:val="en-US" w:eastAsia="zh-CN"/>
        </w:rPr>
        <w:t>炭步</w:t>
      </w:r>
      <w:r>
        <w:rPr>
          <w:rFonts w:hint="eastAsia" w:ascii="Times New Roman" w:hAnsi="Times New Roman" w:eastAsia="仿宋_GB2312" w:cs="仿宋_GB2312"/>
          <w:kern w:val="2"/>
          <w:sz w:val="32"/>
          <w:szCs w:val="32"/>
          <w:highlight w:val="none"/>
        </w:rPr>
        <w:t>镇建设规划，完善城市功</w:t>
      </w:r>
      <w:r>
        <w:rPr>
          <w:rFonts w:hint="eastAsia" w:ascii="Times New Roman" w:hAnsi="Times New Roman" w:eastAsia="仿宋_GB2312" w:cs="仿宋_GB2312"/>
          <w:spacing w:val="0"/>
          <w:kern w:val="2"/>
          <w:sz w:val="32"/>
          <w:szCs w:val="32"/>
          <w:highlight w:val="none"/>
        </w:rPr>
        <w:t>能</w:t>
      </w:r>
      <w:r>
        <w:rPr>
          <w:rFonts w:hint="eastAsia" w:ascii="Times New Roman" w:hAnsi="Times New Roman" w:eastAsia="仿宋_GB2312" w:cs="仿宋_GB2312"/>
          <w:spacing w:val="0"/>
          <w:kern w:val="2"/>
          <w:sz w:val="32"/>
          <w:szCs w:val="32"/>
          <w:highlight w:val="none"/>
          <w:lang w:eastAsia="zh-CN"/>
        </w:rPr>
        <w:t>，</w:t>
      </w:r>
      <w:r>
        <w:rPr>
          <w:rFonts w:hint="eastAsia" w:ascii="Times New Roman" w:hAnsi="Times New Roman" w:eastAsia="仿宋_GB2312" w:cs="仿宋_GB2312"/>
          <w:spacing w:val="0"/>
          <w:kern w:val="2"/>
          <w:sz w:val="32"/>
          <w:szCs w:val="32"/>
          <w:highlight w:val="none"/>
        </w:rPr>
        <w:t>改善城市环境，促进经济、文化发展，广州市</w:t>
      </w:r>
      <w:r>
        <w:rPr>
          <w:rFonts w:hint="eastAsia" w:ascii="Times New Roman" w:hAnsi="Times New Roman" w:eastAsia="仿宋_GB2312" w:cs="仿宋_GB2312"/>
          <w:spacing w:val="0"/>
          <w:kern w:val="2"/>
          <w:sz w:val="32"/>
          <w:szCs w:val="32"/>
          <w:highlight w:val="none"/>
          <w:lang w:eastAsia="zh-CN"/>
        </w:rPr>
        <w:t>花都</w:t>
      </w:r>
      <w:r>
        <w:rPr>
          <w:rFonts w:hint="eastAsia" w:ascii="Times New Roman" w:hAnsi="Times New Roman" w:eastAsia="仿宋_GB2312" w:cs="仿宋_GB2312"/>
          <w:spacing w:val="0"/>
          <w:kern w:val="2"/>
          <w:sz w:val="32"/>
          <w:szCs w:val="32"/>
          <w:highlight w:val="none"/>
        </w:rPr>
        <w:t>区人民政府拟征收</w:t>
      </w:r>
      <w:r>
        <w:rPr>
          <w:rFonts w:hint="eastAsia" w:ascii="Times New Roman" w:hAnsi="Times New Roman" w:eastAsia="仿宋_GB2312" w:cs="仿宋_GB2312"/>
          <w:spacing w:val="0"/>
          <w:kern w:val="2"/>
          <w:sz w:val="32"/>
          <w:szCs w:val="32"/>
          <w:highlight w:val="none"/>
          <w:lang w:eastAsia="zh-CN"/>
        </w:rPr>
        <w:t>该区</w:t>
      </w:r>
      <w:r>
        <w:rPr>
          <w:rFonts w:hint="eastAsia" w:ascii="Times New Roman" w:hAnsi="Times New Roman" w:eastAsia="仿宋_GB2312" w:cs="仿宋_GB2312"/>
          <w:spacing w:val="0"/>
          <w:kern w:val="2"/>
          <w:sz w:val="32"/>
          <w:szCs w:val="32"/>
          <w:highlight w:val="none"/>
          <w:lang w:val="en-US" w:eastAsia="zh-CN"/>
        </w:rPr>
        <w:t>炭步</w:t>
      </w:r>
      <w:r>
        <w:rPr>
          <w:rFonts w:hint="eastAsia" w:ascii="Times New Roman" w:hAnsi="Times New Roman" w:eastAsia="仿宋_GB2312" w:cs="仿宋_GB2312"/>
          <w:spacing w:val="0"/>
          <w:kern w:val="2"/>
          <w:sz w:val="32"/>
          <w:szCs w:val="32"/>
          <w:highlight w:val="none"/>
        </w:rPr>
        <w:t>镇</w:t>
      </w:r>
      <w:r>
        <w:rPr>
          <w:rFonts w:hint="eastAsia" w:ascii="Times New Roman" w:hAnsi="Times New Roman" w:eastAsia="仿宋_GB2312" w:cs="仿宋_GB2312"/>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eastAsia" w:ascii="Times New Roman" w:hAnsi="Times New Roman" w:eastAsia="仿宋_GB2312" w:cs="仿宋_GB2312"/>
          <w:spacing w:val="0"/>
          <w:kern w:val="2"/>
          <w:sz w:val="32"/>
          <w:szCs w:val="32"/>
          <w:highlight w:val="none"/>
        </w:rPr>
        <w:t>属</w:t>
      </w:r>
      <w:r>
        <w:rPr>
          <w:rFonts w:hint="eastAsia" w:ascii="Times New Roman" w:hAnsi="Times New Roman" w:eastAsia="仿宋_GB2312" w:cs="仿宋_GB2312"/>
          <w:kern w:val="2"/>
          <w:sz w:val="32"/>
          <w:szCs w:val="32"/>
          <w:highlight w:val="none"/>
        </w:rPr>
        <w:t>下的集体土地</w:t>
      </w:r>
      <w:r>
        <w:rPr>
          <w:rFonts w:hint="eastAsia" w:ascii="Times New Roman" w:hAnsi="Times New Roman" w:eastAsia="仿宋_GB2312" w:cs="Times New Roman"/>
          <w:kern w:val="2"/>
          <w:sz w:val="32"/>
          <w:szCs w:val="32"/>
          <w:highlight w:val="none"/>
          <w:lang w:val="en-US" w:eastAsia="zh-CN"/>
        </w:rPr>
        <w:t>0.6429</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，面积合计</w:t>
      </w:r>
      <w:r>
        <w:rPr>
          <w:rFonts w:hint="eastAsia" w:ascii="Times New Roman" w:hAnsi="Times New Roman" w:eastAsia="仿宋_GB2312" w:cs="Times New Roman"/>
          <w:kern w:val="2"/>
          <w:sz w:val="32"/>
          <w:szCs w:val="32"/>
          <w:highlight w:val="none"/>
          <w:lang w:val="en-US" w:eastAsia="zh-CN"/>
        </w:rPr>
        <w:t>0.6429公顷。</w:t>
      </w:r>
      <w:r>
        <w:rPr>
          <w:rFonts w:hint="eastAsia" w:ascii="Times New Roman" w:hAnsi="Times New Roman" w:eastAsia="仿宋_GB2312" w:cs="仿宋_GB2312"/>
          <w:kern w:val="2"/>
          <w:sz w:val="32"/>
          <w:szCs w:val="32"/>
          <w:highlight w:val="none"/>
        </w:rPr>
        <w:t>根据《中华人民共和国土地管理法》第二条、第四十五条、第四十七条</w:t>
      </w:r>
      <w:r>
        <w:rPr>
          <w:rFonts w:hint="eastAsia" w:ascii="Times New Roman" w:hAnsi="Times New Roman" w:eastAsia="仿宋_GB2312" w:cs="仿宋_GB2312"/>
          <w:kern w:val="2"/>
          <w:sz w:val="32"/>
          <w:szCs w:val="32"/>
          <w:highlight w:val="none"/>
          <w:lang w:eastAsia="zh-CN"/>
        </w:rPr>
        <w:t>，</w:t>
      </w:r>
      <w:r>
        <w:rPr>
          <w:rFonts w:hint="eastAsia" w:ascii="Times New Roman" w:hAnsi="Times New Roman" w:eastAsia="仿宋_GB2312" w:cs="仿宋_GB2312"/>
          <w:kern w:val="2"/>
          <w:sz w:val="32"/>
          <w:szCs w:val="32"/>
          <w:highlight w:val="none"/>
        </w:rPr>
        <w:t>《中华人民共和国土地管理法实施条例》第二十七条、第二十八条，以及《广东省</w:t>
      </w:r>
      <w:r>
        <w:rPr>
          <w:rFonts w:hint="eastAsia" w:ascii="Times New Roman" w:hAnsi="Times New Roman" w:eastAsia="仿宋_GB2312" w:cs="仿宋_GB2312"/>
          <w:spacing w:val="0"/>
          <w:kern w:val="2"/>
          <w:sz w:val="32"/>
          <w:szCs w:val="32"/>
          <w:highlight w:val="none"/>
        </w:rPr>
        <w:t>土地管理条例》第三十条等规定，结合</w:t>
      </w:r>
      <w:r>
        <w:rPr>
          <w:rFonts w:hint="eastAsia" w:ascii="Times New Roman" w:hAnsi="Times New Roman" w:eastAsia="仿宋_GB2312" w:cs="仿宋_GB2312"/>
          <w:spacing w:val="0"/>
          <w:kern w:val="2"/>
          <w:sz w:val="32"/>
          <w:szCs w:val="32"/>
          <w:highlight w:val="none"/>
          <w:lang w:eastAsia="zh-CN"/>
        </w:rPr>
        <w:t>花都</w:t>
      </w:r>
      <w:r>
        <w:rPr>
          <w:rFonts w:hint="eastAsia" w:ascii="Times New Roman" w:hAnsi="Times New Roman" w:eastAsia="仿宋_GB2312" w:cs="仿宋_GB2312"/>
          <w:spacing w:val="0"/>
          <w:kern w:val="2"/>
          <w:sz w:val="32"/>
          <w:szCs w:val="32"/>
          <w:highlight w:val="none"/>
        </w:rPr>
        <w:t>区的征收农用地</w:t>
      </w:r>
      <w:r>
        <w:rPr>
          <w:rFonts w:hint="eastAsia" w:ascii="Times New Roman" w:hAnsi="Times New Roman" w:eastAsia="仿宋_GB2312" w:cs="仿宋_GB2312"/>
          <w:kern w:val="2"/>
          <w:sz w:val="32"/>
          <w:szCs w:val="32"/>
          <w:highlight w:val="none"/>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拟征收土地位于广州市花都区</w:t>
      </w:r>
      <w:r>
        <w:rPr>
          <w:rFonts w:hint="eastAsia" w:ascii="Times New Roman" w:hAnsi="Times New Roman" w:eastAsia="仿宋_GB2312" w:cs="仿宋_GB2312"/>
          <w:spacing w:val="0"/>
          <w:kern w:val="2"/>
          <w:sz w:val="32"/>
          <w:szCs w:val="32"/>
          <w:highlight w:val="none"/>
          <w:lang w:val="en-US" w:eastAsia="zh-CN"/>
        </w:rPr>
        <w:t>炭步</w:t>
      </w:r>
      <w:r>
        <w:rPr>
          <w:rFonts w:hint="eastAsia" w:ascii="Times New Roman" w:hAnsi="Times New Roman" w:eastAsia="仿宋_GB2312" w:cs="仿宋_GB2312"/>
          <w:spacing w:val="0"/>
          <w:kern w:val="2"/>
          <w:sz w:val="32"/>
          <w:szCs w:val="32"/>
          <w:highlight w:val="none"/>
        </w:rPr>
        <w:t>镇</w:t>
      </w:r>
      <w:r>
        <w:rPr>
          <w:rFonts w:hint="eastAsia" w:ascii="Times New Roman" w:hAnsi="Times New Roman" w:eastAsia="仿宋_GB2312" w:cs="仿宋_GB2312"/>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default" w:ascii="Times New Roman" w:hAnsi="Times New Roman" w:eastAsia="仿宋_GB2312" w:cs="Times New Roman"/>
          <w:kern w:val="2"/>
          <w:sz w:val="32"/>
          <w:szCs w:val="32"/>
          <w:highlight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color w:val="000000" w:themeColor="text1"/>
          <w:kern w:val="2"/>
          <w:sz w:val="32"/>
          <w:szCs w:val="32"/>
          <w:highlight w:val="none"/>
          <w:lang w:eastAsia="zh-CN"/>
        </w:rPr>
      </w:pPr>
      <w:r>
        <w:rPr>
          <w:rFonts w:hint="default" w:ascii="Times New Roman" w:hAnsi="Times New Roman" w:eastAsia="仿宋_GB2312" w:cs="Times New Roman"/>
          <w:kern w:val="2"/>
          <w:sz w:val="32"/>
          <w:szCs w:val="32"/>
          <w:highlight w:val="none"/>
        </w:rPr>
        <w:t>根据《中华人民共和国土地管理法》第四十五条的规定，本次征收土地目的为</w:t>
      </w:r>
      <w:r>
        <w:rPr>
          <w:rFonts w:hint="default" w:ascii="Times New Roman" w:hAnsi="Times New Roman" w:eastAsia="仿宋_GB2312" w:cs="Times New Roman"/>
          <w:strike w:val="0"/>
          <w:dstrike w:val="0"/>
          <w:color w:val="000000" w:themeColor="text1"/>
          <w:kern w:val="2"/>
          <w:sz w:val="32"/>
          <w:szCs w:val="32"/>
          <w:highlight w:val="none"/>
        </w:rPr>
        <w:t>由政府组织实施的能源、交通、水利、通信、邮政等基础设施建设需要用地的</w:t>
      </w:r>
      <w:r>
        <w:rPr>
          <w:rFonts w:hint="eastAsia" w:ascii="Times New Roman" w:hAnsi="Times New Roman" w:eastAsia="仿宋_GB2312" w:cs="Times New Roman"/>
          <w:color w:val="000000" w:themeColor="text1"/>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color w:val="000000" w:themeColor="text1"/>
          <w:kern w:val="2"/>
          <w:sz w:val="32"/>
          <w:szCs w:val="32"/>
          <w:highlight w:val="none"/>
        </w:rPr>
      </w:pPr>
      <w:r>
        <w:rPr>
          <w:rFonts w:hint="eastAsia" w:ascii="Times New Roman" w:hAnsi="Times New Roman" w:eastAsia="仿宋_GB2312" w:cs="仿宋_GB2312"/>
          <w:color w:val="000000" w:themeColor="text1"/>
          <w:kern w:val="2"/>
          <w:sz w:val="32"/>
          <w:szCs w:val="32"/>
          <w:highlight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根据拟征收土地现状调查结果，拟征收土地现状为</w:t>
      </w:r>
      <w:r>
        <w:rPr>
          <w:rFonts w:hint="default" w:ascii="Times New Roman" w:hAnsi="Times New Roman" w:eastAsia="仿宋_GB2312" w:cs="Times New Roman"/>
          <w:kern w:val="2"/>
          <w:sz w:val="32"/>
          <w:szCs w:val="32"/>
          <w:highlight w:val="none"/>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拟征收广州市花都区</w:t>
      </w:r>
      <w:r>
        <w:rPr>
          <w:rFonts w:hint="default" w:ascii="Times New Roman" w:hAnsi="Times New Roman" w:eastAsia="仿宋_GB2312" w:cs="Times New Roman"/>
          <w:spacing w:val="0"/>
          <w:kern w:val="2"/>
          <w:sz w:val="32"/>
          <w:szCs w:val="32"/>
          <w:highlight w:val="none"/>
          <w:lang w:val="en-US" w:eastAsia="zh-CN"/>
        </w:rPr>
        <w:t>炭步</w:t>
      </w:r>
      <w:r>
        <w:rPr>
          <w:rFonts w:hint="default" w:ascii="Times New Roman" w:hAnsi="Times New Roman" w:eastAsia="仿宋_GB2312" w:cs="Times New Roman"/>
          <w:spacing w:val="0"/>
          <w:kern w:val="2"/>
          <w:sz w:val="32"/>
          <w:szCs w:val="32"/>
          <w:highlight w:val="none"/>
        </w:rPr>
        <w:t>镇</w:t>
      </w:r>
      <w:r>
        <w:rPr>
          <w:rFonts w:hint="default" w:ascii="Times New Roman" w:hAnsi="Times New Roman" w:eastAsia="仿宋_GB2312" w:cs="Times New Roman"/>
          <w:spacing w:val="0"/>
          <w:kern w:val="2"/>
          <w:sz w:val="32"/>
          <w:szCs w:val="32"/>
          <w:highlight w:val="none"/>
          <w:lang w:val="en-US" w:eastAsia="zh-CN"/>
        </w:rPr>
        <w:t>鸭湖经济联合社、鸭湖第五经济合作社、鸭湖第六经济合作社、鸭湖第七经济合作社、鸭湖第八经济合作社、鸭湖第九经济合作社、鸭湖第十经济合作社</w:t>
      </w:r>
      <w:r>
        <w:rPr>
          <w:rFonts w:hint="default" w:ascii="Times New Roman" w:hAnsi="Times New Roman" w:eastAsia="仿宋_GB2312" w:cs="Times New Roman"/>
          <w:kern w:val="2"/>
          <w:sz w:val="32"/>
          <w:szCs w:val="32"/>
          <w:highlight w:val="none"/>
        </w:rPr>
        <w:t>属下的集体</w:t>
      </w:r>
      <w:r>
        <w:rPr>
          <w:rFonts w:hint="default" w:ascii="Times New Roman" w:hAnsi="Times New Roman" w:eastAsia="仿宋_GB2312" w:cs="Times New Roman"/>
          <w:kern w:val="2"/>
          <w:sz w:val="32"/>
          <w:szCs w:val="32"/>
          <w:highlight w:val="none"/>
          <w:lang w:eastAsia="zh-CN"/>
        </w:rPr>
        <w:t>所有</w:t>
      </w:r>
      <w:r>
        <w:rPr>
          <w:rFonts w:hint="default" w:ascii="Times New Roman" w:hAnsi="Times New Roman" w:eastAsia="仿宋_GB2312" w:cs="Times New Roman"/>
          <w:kern w:val="2"/>
          <w:sz w:val="32"/>
          <w:szCs w:val="32"/>
          <w:highlight w:val="none"/>
        </w:rPr>
        <w:t>土地</w:t>
      </w:r>
      <w:r>
        <w:rPr>
          <w:rFonts w:hint="eastAsia" w:ascii="Times New Roman" w:hAnsi="Times New Roman" w:eastAsia="仿宋_GB2312" w:cs="Times New Roman"/>
          <w:kern w:val="2"/>
          <w:sz w:val="32"/>
          <w:szCs w:val="32"/>
          <w:highlight w:val="none"/>
          <w:lang w:val="en-US" w:eastAsia="zh-CN"/>
        </w:rPr>
        <w:t>0.6429</w:t>
      </w:r>
      <w:r>
        <w:rPr>
          <w:rFonts w:hint="default" w:ascii="Times New Roman" w:hAnsi="Times New Roman" w:eastAsia="仿宋_GB2312" w:cs="Times New Roman"/>
          <w:kern w:val="2"/>
          <w:sz w:val="32"/>
          <w:szCs w:val="32"/>
          <w:highlight w:val="none"/>
        </w:rPr>
        <w:t>公顷</w:t>
      </w:r>
      <w:r>
        <w:rPr>
          <w:rFonts w:hint="default"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9.6435</w:t>
      </w:r>
      <w:r>
        <w:rPr>
          <w:rFonts w:hint="default" w:ascii="Times New Roman" w:hAnsi="Times New Roman" w:eastAsia="仿宋_GB2312" w:cs="Times New Roman"/>
          <w:kern w:val="2"/>
          <w:sz w:val="32"/>
          <w:szCs w:val="32"/>
          <w:highlight w:val="none"/>
          <w:lang w:val="en-US" w:eastAsia="zh-CN"/>
        </w:rPr>
        <w:t>亩</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。其中农用地</w:t>
      </w:r>
      <w:r>
        <w:rPr>
          <w:rFonts w:hint="eastAsia" w:ascii="Times New Roman" w:hAnsi="Times New Roman" w:eastAsia="仿宋_GB2312" w:cs="Times New Roman"/>
          <w:kern w:val="2"/>
          <w:sz w:val="32"/>
          <w:szCs w:val="32"/>
          <w:highlight w:val="none"/>
          <w:lang w:val="en-US" w:eastAsia="zh-CN"/>
        </w:rPr>
        <w:t>0.2743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val="en-US" w:eastAsia="zh-CN"/>
        </w:rPr>
        <w:t>4.1145</w:t>
      </w:r>
      <w:r>
        <w:rPr>
          <w:rFonts w:hint="default" w:ascii="Times New Roman" w:hAnsi="Times New Roman" w:eastAsia="仿宋_GB2312" w:cs="Times New Roman"/>
          <w:kern w:val="2"/>
          <w:sz w:val="32"/>
          <w:szCs w:val="32"/>
          <w:highlight w:val="none"/>
        </w:rPr>
        <w:t>亩），</w:t>
      </w:r>
      <w:r>
        <w:rPr>
          <w:rFonts w:hint="eastAsia" w:ascii="Times New Roman" w:hAnsi="Times New Roman" w:eastAsia="仿宋_GB2312" w:cs="Times New Roman"/>
          <w:kern w:val="2"/>
          <w:sz w:val="32"/>
          <w:szCs w:val="32"/>
          <w:highlight w:val="none"/>
          <w:lang w:eastAsia="zh-CN"/>
        </w:rPr>
        <w:t>其中</w:t>
      </w:r>
      <w:r>
        <w:rPr>
          <w:rFonts w:hint="default" w:ascii="Times New Roman" w:hAnsi="Times New Roman" w:eastAsia="仿宋_GB2312" w:cs="Times New Roman"/>
          <w:kern w:val="2"/>
          <w:sz w:val="32"/>
          <w:szCs w:val="32"/>
          <w:highlight w:val="none"/>
        </w:rPr>
        <w:t>耕地</w:t>
      </w:r>
      <w:r>
        <w:rPr>
          <w:rFonts w:hint="eastAsia" w:ascii="Times New Roman" w:hAnsi="Times New Roman" w:eastAsia="仿宋_GB2312" w:cs="Times New Roman"/>
          <w:kern w:val="2"/>
          <w:sz w:val="32"/>
          <w:szCs w:val="32"/>
          <w:highlight w:val="none"/>
          <w:lang w:val="en-US" w:eastAsia="zh-CN"/>
        </w:rPr>
        <w:t>0.1066公顷</w:t>
      </w:r>
      <w:r>
        <w:rPr>
          <w:rFonts w:hint="default" w:ascii="Times New Roman" w:hAnsi="Times New Roman" w:eastAsia="仿宋_GB2312" w:cs="Times New Roman"/>
          <w:kern w:val="2"/>
          <w:sz w:val="32"/>
          <w:szCs w:val="32"/>
          <w:highlight w:val="none"/>
        </w:rPr>
        <w:t>；建设用地</w:t>
      </w:r>
      <w:r>
        <w:rPr>
          <w:rFonts w:hint="eastAsia" w:ascii="Times New Roman" w:hAnsi="Times New Roman" w:eastAsia="仿宋_GB2312" w:cs="Times New Roman"/>
          <w:kern w:val="2"/>
          <w:sz w:val="32"/>
          <w:szCs w:val="32"/>
          <w:highlight w:val="none"/>
          <w:lang w:val="en-US" w:eastAsia="zh-CN"/>
        </w:rPr>
        <w:t>0.3686</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val="en-US" w:eastAsia="zh-CN"/>
        </w:rPr>
        <w:t>5.5290</w:t>
      </w:r>
      <w:r>
        <w:rPr>
          <w:rFonts w:hint="default" w:ascii="Times New Roman" w:hAnsi="Times New Roman" w:eastAsia="仿宋_GB2312" w:cs="Times New Roman"/>
          <w:kern w:val="2"/>
          <w:sz w:val="32"/>
          <w:szCs w:val="32"/>
          <w:highlight w:val="none"/>
        </w:rPr>
        <w:t>亩）</w:t>
      </w:r>
      <w:r>
        <w:rPr>
          <w:rFonts w:hint="default" w:ascii="Times New Roman" w:hAnsi="Times New Roman" w:eastAsia="仿宋_GB2312" w:cs="Times New Roman"/>
          <w:kern w:val="2"/>
          <w:sz w:val="32"/>
          <w:szCs w:val="32"/>
          <w:highlight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rPr>
        <w:t>根据《中华人民共和国土地管理法》《广东省土地管理条例》等规定，并结合《</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的规定，</w:t>
      </w:r>
      <w:r>
        <w:rPr>
          <w:rFonts w:hint="eastAsia" w:ascii="Times New Roman" w:hAnsi="Times New Roman" w:eastAsia="仿宋_GB2312" w:cs="Times New Roman"/>
          <w:kern w:val="2"/>
          <w:sz w:val="32"/>
          <w:szCs w:val="32"/>
          <w:highlight w:val="none"/>
          <w:lang w:eastAsia="zh-CN"/>
        </w:rPr>
        <w:t>土地补偿标准为</w:t>
      </w:r>
      <w:r>
        <w:rPr>
          <w:rFonts w:hint="default" w:cs="Times New Roman"/>
          <w:kern w:val="2"/>
          <w:highlight w:val="none"/>
          <w:lang w:eastAsia="zh-CN"/>
        </w:rPr>
        <w:t>82.5</w:t>
      </w:r>
      <w:r>
        <w:rPr>
          <w:rFonts w:hint="eastAsia" w:ascii="Times New Roman" w:hAnsi="Times New Roman" w:eastAsia="仿宋_GB2312" w:cs="Times New Roman"/>
          <w:kern w:val="2"/>
          <w:sz w:val="32"/>
          <w:szCs w:val="32"/>
          <w:highlight w:val="none"/>
          <w:lang w:val="en-US" w:eastAsia="zh-CN"/>
        </w:rPr>
        <w:t>万元/公顷，安置补助标准为</w:t>
      </w:r>
      <w:r>
        <w:rPr>
          <w:rFonts w:hint="default" w:ascii="Times New Roman" w:hAnsi="Times New Roman" w:eastAsia="仿宋_GB2312" w:cs="Times New Roman"/>
          <w:kern w:val="2"/>
          <w:sz w:val="32"/>
          <w:szCs w:val="32"/>
          <w:highlight w:val="none"/>
          <w:lang w:eastAsia="zh-CN"/>
        </w:rPr>
        <w:t>82.5</w:t>
      </w:r>
      <w:r>
        <w:rPr>
          <w:rFonts w:hint="eastAsia" w:ascii="Times New Roman" w:hAnsi="Times New Roman" w:eastAsia="仿宋_GB2312" w:cs="Times New Roman"/>
          <w:kern w:val="2"/>
          <w:sz w:val="32"/>
          <w:szCs w:val="32"/>
          <w:highlight w:val="none"/>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val="0"/>
          <w:bCs w:val="0"/>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default" w:ascii="Times New Roman" w:hAnsi="Times New Roman" w:eastAsia="仿宋_GB2312" w:cs="Times New Roman"/>
          <w:b w:val="0"/>
          <w:bCs w:val="0"/>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highlight w:val="none"/>
        </w:rPr>
        <w:t>青苗及其他地上附着物补偿</w:t>
      </w:r>
      <w:r>
        <w:rPr>
          <w:rFonts w:hint="default" w:ascii="Times New Roman" w:hAnsi="Times New Roman" w:eastAsia="仿宋_GB2312" w:cs="Times New Roman"/>
          <w:kern w:val="2"/>
          <w:sz w:val="32"/>
          <w:szCs w:val="32"/>
          <w:highlight w:val="none"/>
          <w:lang w:eastAsia="zh-CN"/>
        </w:rPr>
        <w:t>。</w:t>
      </w:r>
    </w:p>
    <w:p w14:paraId="09C2734D">
      <w:pPr>
        <w:pageBreakBefore w:val="0"/>
        <w:numPr>
          <w:ilvl w:val="-1"/>
          <w:numId w:val="0"/>
        </w:numPr>
        <w:kinsoku/>
        <w:wordWrap/>
        <w:overflowPunct/>
        <w:topLinePunct w:val="0"/>
        <w:autoSpaceDE/>
        <w:autoSpaceDN/>
        <w:bidi w:val="0"/>
        <w:adjustRightInd/>
        <w:spacing w:after="0" w:line="560" w:lineRule="exact"/>
        <w:ind w:firstLine="634" w:firstLineChars="200"/>
        <w:jc w:val="both"/>
        <w:textAlignment w:val="auto"/>
        <w:rPr>
          <w:rFonts w:hint="default"/>
          <w:kern w:val="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青苗补偿及其他地上附着物</w:t>
      </w:r>
      <w:r>
        <w:rPr>
          <w:rFonts w:hint="eastAsia" w:ascii="Times New Roman" w:hAnsi="Times New Roman" w:eastAsia="仿宋_GB2312" w:cs="Times New Roman"/>
          <w:b w:val="0"/>
          <w:bCs/>
          <w:snapToGrid/>
          <w:color w:val="auto"/>
          <w:spacing w:val="0"/>
          <w:kern w:val="2"/>
          <w:sz w:val="32"/>
          <w:szCs w:val="32"/>
          <w:highlight w:val="none"/>
          <w:lang w:eastAsia="zh-CN"/>
        </w:rPr>
        <w:t>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highlight w:val="none"/>
          <w:lang w:eastAsia="zh-CN"/>
        </w:rPr>
        <w:t>保</w:t>
      </w:r>
      <w:r>
        <w:rPr>
          <w:rFonts w:hint="default" w:ascii="Times New Roman" w:hAnsi="Times New Roman" w:eastAsia="仿宋_GB2312" w:cs="Times New Roman"/>
          <w:kern w:val="2"/>
          <w:sz w:val="32"/>
          <w:szCs w:val="32"/>
          <w:highlight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val="0"/>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val="0"/>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
        </w:rPr>
        <w:t>的规定，按实际征收土地面积的</w:t>
      </w:r>
      <w:r>
        <w:rPr>
          <w:rFonts w:hint="default" w:ascii="Times New Roman" w:hAnsi="Times New Roman" w:eastAsia="仿宋_GB2312" w:cs="Times New Roman"/>
          <w:bCs w:val="0"/>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%，按照实地留地安排留用地。</w:t>
      </w:r>
    </w:p>
    <w:p w14:paraId="6FDD60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（三）社会保障。</w:t>
      </w:r>
      <w:r>
        <w:rPr>
          <w:rFonts w:hint="default" w:ascii="Times New Roman" w:hAnsi="Times New Roman" w:eastAsia="仿宋_GB2312" w:cs="Times New Roman"/>
          <w:color w:val="auto"/>
          <w:kern w:val="2"/>
          <w:sz w:val="32"/>
          <w:szCs w:val="32"/>
          <w:highlight w:val="none"/>
        </w:rPr>
        <w:t>该项目</w:t>
      </w:r>
      <w:r>
        <w:rPr>
          <w:rFonts w:hint="default" w:ascii="Times New Roman" w:hAnsi="Times New Roman" w:eastAsia="仿宋_GB2312" w:cs="Times New Roman"/>
          <w:color w:val="auto"/>
          <w:kern w:val="2"/>
          <w:sz w:val="32"/>
          <w:szCs w:val="32"/>
          <w:highlight w:val="none"/>
          <w:u w:val="none"/>
        </w:rPr>
        <w:t>征收</w:t>
      </w:r>
      <w:r>
        <w:rPr>
          <w:rFonts w:hint="default" w:ascii="Times New Roman" w:hAnsi="Times New Roman" w:eastAsia="仿宋_GB2312" w:cs="Times New Roman"/>
          <w:color w:val="auto"/>
          <w:kern w:val="2"/>
          <w:sz w:val="32"/>
          <w:szCs w:val="32"/>
          <w:highlight w:val="none"/>
          <w:u w:val="none"/>
          <w:lang w:val="en-US" w:eastAsia="zh-CN"/>
        </w:rPr>
        <w:t>炭步</w:t>
      </w:r>
      <w:r>
        <w:rPr>
          <w:rFonts w:hint="default" w:ascii="Times New Roman" w:hAnsi="Times New Roman" w:eastAsia="仿宋_GB2312" w:cs="Times New Roman"/>
          <w:color w:val="auto"/>
          <w:kern w:val="2"/>
          <w:sz w:val="32"/>
          <w:szCs w:val="32"/>
          <w:highlight w:val="none"/>
          <w:u w:val="none"/>
        </w:rPr>
        <w:t>镇</w:t>
      </w:r>
      <w:r>
        <w:rPr>
          <w:rFonts w:hint="default" w:ascii="Times New Roman" w:hAnsi="Times New Roman" w:eastAsia="仿宋_GB2312" w:cs="Times New Roman"/>
          <w:color w:val="auto"/>
          <w:kern w:val="2"/>
          <w:sz w:val="32"/>
          <w:szCs w:val="32"/>
          <w:highlight w:val="none"/>
          <w:u w:val="none"/>
          <w:lang w:val="en-US" w:eastAsia="zh-CN"/>
        </w:rPr>
        <w:t>鸭湖</w:t>
      </w:r>
      <w:r>
        <w:rPr>
          <w:rFonts w:hint="default" w:ascii="Times New Roman" w:hAnsi="Times New Roman" w:eastAsia="仿宋_GB2312" w:cs="Times New Roman"/>
          <w:color w:val="auto"/>
          <w:kern w:val="2"/>
          <w:sz w:val="32"/>
          <w:szCs w:val="32"/>
          <w:highlight w:val="none"/>
          <w:u w:val="none"/>
        </w:rPr>
        <w:t>村土地面积共</w:t>
      </w:r>
      <w:r>
        <w:rPr>
          <w:rFonts w:hint="default" w:ascii="Times New Roman" w:hAnsi="Times New Roman" w:eastAsia="仿宋_GB2312" w:cs="Times New Roman"/>
          <w:kern w:val="2"/>
          <w:sz w:val="32"/>
          <w:szCs w:val="32"/>
          <w:highlight w:val="none"/>
          <w:u w:val="none"/>
        </w:rPr>
        <w:t>9.6435</w:t>
      </w:r>
      <w:r>
        <w:rPr>
          <w:rFonts w:hint="default" w:ascii="Times New Roman" w:hAnsi="Times New Roman" w:eastAsia="仿宋_GB2312" w:cs="Times New Roman"/>
          <w:color w:val="auto"/>
          <w:kern w:val="2"/>
          <w:sz w:val="32"/>
          <w:szCs w:val="32"/>
          <w:highlight w:val="none"/>
          <w:u w:val="none"/>
        </w:rPr>
        <w:t>亩，</w:t>
      </w:r>
      <w:r>
        <w:rPr>
          <w:rFonts w:hint="default" w:ascii="Times New Roman" w:hAnsi="Times New Roman" w:eastAsia="仿宋_GB2312" w:cs="Times New Roman"/>
          <w:color w:val="auto"/>
          <w:kern w:val="2"/>
          <w:sz w:val="32"/>
          <w:szCs w:val="32"/>
          <w:highlight w:val="none"/>
          <w:lang w:val="en-US" w:eastAsia="zh-CN"/>
        </w:rPr>
        <w:t>根据</w:t>
      </w:r>
      <w:r>
        <w:rPr>
          <w:rFonts w:hint="default" w:ascii="Times New Roman" w:hAnsi="Times New Roman" w:eastAsia="仿宋_GB2312" w:cs="Times New Roman"/>
          <w:color w:val="auto"/>
          <w:kern w:val="2"/>
          <w:sz w:val="32"/>
          <w:szCs w:val="32"/>
          <w:highlight w:val="none"/>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highlight w:val="none"/>
          <w:lang w:val="en-US" w:eastAsia="zh-CN" w:bidi="ar"/>
        </w:rPr>
        <w:t>通知》（粤府办〔2021〕22号）</w:t>
      </w:r>
      <w:r>
        <w:rPr>
          <w:rFonts w:hint="default" w:ascii="Times New Roman" w:hAnsi="Times New Roman" w:eastAsia="仿宋_GB2312" w:cs="Times New Roman"/>
          <w:b w:val="0"/>
          <w:bCs w:val="0"/>
          <w:color w:val="auto"/>
          <w:kern w:val="2"/>
          <w:sz w:val="32"/>
          <w:szCs w:val="32"/>
          <w:highlight w:val="none"/>
          <w:shd w:val="clear" w:color="auto" w:fill="auto"/>
          <w:lang w:bidi="ar"/>
        </w:rPr>
        <w:t>规定</w:t>
      </w:r>
      <w:r>
        <w:rPr>
          <w:rFonts w:hint="default" w:ascii="Times New Roman" w:hAnsi="Times New Roman" w:eastAsia="仿宋_GB2312" w:cs="Times New Roman"/>
          <w:b w:val="0"/>
          <w:bCs w:val="0"/>
          <w:color w:val="auto"/>
          <w:kern w:val="2"/>
          <w:sz w:val="32"/>
          <w:szCs w:val="32"/>
          <w:highlight w:val="none"/>
          <w:shd w:val="clear" w:color="auto" w:fill="auto"/>
          <w:lang w:eastAsia="zh-CN" w:bidi="ar"/>
        </w:rPr>
        <w:t>，</w:t>
      </w:r>
      <w:r>
        <w:rPr>
          <w:rFonts w:hint="eastAsia" w:ascii="Times New Roman" w:hAnsi="Times New Roman" w:eastAsia="仿宋_GB2312" w:cs="仿宋_GB2312"/>
          <w:color w:val="auto"/>
          <w:kern w:val="2"/>
          <w:sz w:val="32"/>
          <w:szCs w:val="32"/>
          <w:highlight w:val="none"/>
          <w:lang w:val="en-US" w:eastAsia="zh-CN" w:bidi="ar"/>
        </w:rPr>
        <w:t>核定该项目按</w:t>
      </w:r>
      <w:r>
        <w:rPr>
          <w:rFonts w:hint="eastAsia" w:ascii="Times New Roman" w:hAnsi="Times New Roman" w:cs="仿宋_GB2312"/>
          <w:color w:val="auto"/>
          <w:kern w:val="2"/>
          <w:sz w:val="32"/>
          <w:szCs w:val="32"/>
          <w:highlight w:val="none"/>
          <w:lang w:val="en-US" w:eastAsia="zh-CN" w:bidi="ar"/>
        </w:rPr>
        <w:t>2.14万元/亩的</w:t>
      </w:r>
      <w:r>
        <w:rPr>
          <w:rFonts w:hint="eastAsia" w:ascii="Times New Roman" w:hAnsi="Times New Roman" w:eastAsia="仿宋_GB2312" w:cs="仿宋_GB2312"/>
          <w:color w:val="auto"/>
          <w:kern w:val="2"/>
          <w:sz w:val="32"/>
          <w:szCs w:val="32"/>
          <w:highlight w:val="none"/>
          <w:lang w:val="en-US" w:eastAsia="zh-CN" w:bidi="ar"/>
        </w:rPr>
        <w:t>标准一次性计提征地社保费共20.67万元，预存入区“收缴被征地农民养老保障资金过渡户”，</w:t>
      </w:r>
      <w:r>
        <w:rPr>
          <w:rFonts w:hint="eastAsia" w:ascii="Times New Roman" w:hAnsi="Times New Roman" w:eastAsia="仿宋_GB2312" w:cs="仿宋_GB2312"/>
          <w:color w:val="auto"/>
          <w:kern w:val="2"/>
          <w:sz w:val="32"/>
          <w:szCs w:val="32"/>
          <w:highlight w:val="none"/>
          <w:u w:val="none"/>
          <w:lang w:val="en-US" w:eastAsia="zh-CN" w:bidi="ar"/>
        </w:rPr>
        <w:t>专款用于被征地农民养老保障</w:t>
      </w:r>
      <w:r>
        <w:rPr>
          <w:rFonts w:hint="eastAsia" w:ascii="Times New Roman" w:hAnsi="Times New Roman" w:eastAsia="仿宋_GB2312" w:cs="仿宋_GB2312"/>
          <w:color w:val="auto"/>
          <w:kern w:val="2"/>
          <w:sz w:val="32"/>
          <w:szCs w:val="32"/>
          <w:highlight w:val="none"/>
          <w:lang w:val="en-US" w:eastAsia="zh-CN" w:bidi="ar"/>
        </w:rPr>
        <w:t>。</w:t>
      </w:r>
    </w:p>
    <w:p w14:paraId="0E5524F0">
      <w:pPr>
        <w:pStyle w:val="6"/>
        <w:widowControl w:val="0"/>
        <w:numPr>
          <w:ilvl w:val="0"/>
          <w:numId w:val="0"/>
        </w:numPr>
        <w:spacing w:before="0" w:after="0" w:line="560" w:lineRule="exact"/>
        <w:ind w:right="111" w:rightChars="0"/>
        <w:jc w:val="both"/>
        <w:rPr>
          <w:rFonts w:hint="eastAsia" w:ascii="Times New Roman" w:hAnsi="Times New Roman" w:eastAsia="仿宋_GB2312" w:cs="仿宋_GB2312"/>
          <w:kern w:val="2"/>
          <w:sz w:val="32"/>
          <w:szCs w:val="32"/>
          <w:highlight w:val="none"/>
        </w:rPr>
      </w:pPr>
    </w:p>
    <w:p w14:paraId="6C80C101">
      <w:pPr>
        <w:pStyle w:val="6"/>
        <w:spacing w:before="0" w:line="560" w:lineRule="exact"/>
        <w:ind w:left="0" w:right="260"/>
        <w:jc w:val="right"/>
        <w:rPr>
          <w:rFonts w:hint="eastAsia" w:ascii="Times New Roman" w:hAnsi="Times New Roman" w:eastAsia="仿宋_GB2312" w:cs="仿宋_GB2312"/>
          <w:kern w:val="2"/>
          <w:sz w:val="32"/>
          <w:szCs w:val="32"/>
          <w:highlight w:val="none"/>
        </w:rPr>
      </w:pPr>
    </w:p>
    <w:p w14:paraId="04F09EC6">
      <w:pPr>
        <w:pStyle w:val="6"/>
        <w:spacing w:before="0" w:line="560" w:lineRule="exact"/>
        <w:ind w:left="0" w:right="260"/>
        <w:jc w:val="right"/>
        <w:rPr>
          <w:rFonts w:hint="eastAsia" w:ascii="Times New Roman" w:hAnsi="Times New Roman" w:eastAsia="仿宋_GB2312" w:cs="仿宋_GB2312"/>
          <w:kern w:val="2"/>
          <w:sz w:val="32"/>
          <w:szCs w:val="32"/>
          <w:highlight w:val="none"/>
        </w:rPr>
      </w:pPr>
    </w:p>
    <w:p w14:paraId="2E72DDC4">
      <w:pPr>
        <w:pStyle w:val="6"/>
        <w:spacing w:before="0" w:line="560" w:lineRule="exact"/>
        <w:ind w:left="0" w:right="260"/>
        <w:jc w:val="right"/>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rPr>
        <w:t>广州市</w:t>
      </w:r>
      <w:r>
        <w:rPr>
          <w:rFonts w:hint="eastAsia" w:ascii="Times New Roman" w:hAnsi="Times New Roman" w:eastAsia="仿宋_GB2312" w:cs="仿宋_GB2312"/>
          <w:kern w:val="2"/>
          <w:sz w:val="32"/>
          <w:szCs w:val="32"/>
          <w:highlight w:val="none"/>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rPr>
        <w:t>年</w:t>
      </w:r>
      <w:r>
        <w:rPr>
          <w:rFonts w:hint="eastAsia" w:ascii="Times New Roman" w:hAnsi="Times New Roman" w:eastAsia="仿宋_GB2312" w:cs="Times New Roman"/>
          <w:kern w:val="2"/>
          <w:sz w:val="32"/>
          <w:szCs w:val="32"/>
          <w:highlight w:val="none"/>
          <w:lang w:val="en-US" w:eastAsia="zh-CN"/>
        </w:rPr>
        <w:t>9</w:t>
      </w:r>
      <w:r>
        <w:rPr>
          <w:rFonts w:hint="default" w:ascii="Times New Roman" w:hAnsi="Times New Roman" w:eastAsia="仿宋_GB2312" w:cs="Times New Roman"/>
          <w:kern w:val="2"/>
          <w:sz w:val="32"/>
          <w:szCs w:val="32"/>
          <w:highlight w:val="none"/>
        </w:rPr>
        <w:t>月</w:t>
      </w:r>
      <w:r>
        <w:rPr>
          <w:rFonts w:hint="eastAsia" w:ascii="Times New Roman" w:hAnsi="Times New Roman" w:eastAsia="仿宋_GB2312" w:cs="Times New Roman"/>
          <w:spacing w:val="0"/>
          <w:kern w:val="2"/>
          <w:sz w:val="32"/>
          <w:szCs w:val="32"/>
          <w:highlight w:val="none"/>
          <w:lang w:val="en-US" w:eastAsia="zh-CN"/>
        </w:rPr>
        <w:t>9</w:t>
      </w:r>
      <w:bookmarkStart w:id="0" w:name="_GoBack"/>
      <w:bookmarkEnd w:id="0"/>
      <w:r>
        <w:rPr>
          <w:rFonts w:hint="default" w:ascii="Times New Roman" w:hAnsi="Times New Roman" w:eastAsia="仿宋_GB2312" w:cs="Times New Roman"/>
          <w:kern w:val="2"/>
          <w:sz w:val="32"/>
          <w:szCs w:val="32"/>
          <w:highlight w:val="none"/>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76C14BA-0B21-4AB5-8CA6-19117867F62C}"/>
  </w:font>
  <w:font w:name="仿宋_GB2312">
    <w:panose1 w:val="02010609030101010101"/>
    <w:charset w:val="86"/>
    <w:family w:val="auto"/>
    <w:pitch w:val="default"/>
    <w:sig w:usb0="00000001" w:usb1="080E0000" w:usb2="00000000" w:usb3="00000000" w:csb0="00040000" w:csb1="00000000"/>
    <w:embedRegular r:id="rId2" w:fontKey="{77705D67-870C-451B-A1FF-7A01B5AD28CF}"/>
  </w:font>
  <w:font w:name="Adobe 黑体 Std R">
    <w:altName w:val="黑体"/>
    <w:panose1 w:val="020B0400000000000000"/>
    <w:charset w:val="80"/>
    <w:family w:val="swiss"/>
    <w:pitch w:val="default"/>
    <w:sig w:usb0="00000000" w:usb1="00000000" w:usb2="00000016" w:usb3="00000000" w:csb0="00060007" w:csb1="00000000"/>
    <w:embedRegular r:id="rId3" w:fontKey="{9D57C560-6737-491A-8FCE-16384CCFA6A0}"/>
  </w:font>
  <w:font w:name="方正小标宋简体">
    <w:panose1 w:val="02000000000000000000"/>
    <w:charset w:val="86"/>
    <w:family w:val="auto"/>
    <w:pitch w:val="default"/>
    <w:sig w:usb0="00000001" w:usb1="080E0000" w:usb2="00000000" w:usb3="00000000" w:csb0="00040000" w:csb1="00000000"/>
    <w:embedRegular r:id="rId4" w:fontKey="{8E132221-C940-40C9-A317-FB81B61A09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72601F7"/>
    <w:rsid w:val="0822151D"/>
    <w:rsid w:val="08682950"/>
    <w:rsid w:val="08D87341"/>
    <w:rsid w:val="0BC12118"/>
    <w:rsid w:val="0C890300"/>
    <w:rsid w:val="0D5A4B28"/>
    <w:rsid w:val="0D630F89"/>
    <w:rsid w:val="161B7A15"/>
    <w:rsid w:val="162B00EE"/>
    <w:rsid w:val="16E50DE0"/>
    <w:rsid w:val="19977D8A"/>
    <w:rsid w:val="1DB94EA0"/>
    <w:rsid w:val="1F386A5A"/>
    <w:rsid w:val="219E39B8"/>
    <w:rsid w:val="248904FC"/>
    <w:rsid w:val="25477C36"/>
    <w:rsid w:val="29C73F17"/>
    <w:rsid w:val="2BE439BC"/>
    <w:rsid w:val="2BE67F0A"/>
    <w:rsid w:val="2F2F33BB"/>
    <w:rsid w:val="314679DE"/>
    <w:rsid w:val="33085EB0"/>
    <w:rsid w:val="34394804"/>
    <w:rsid w:val="34CC172C"/>
    <w:rsid w:val="39A42B0C"/>
    <w:rsid w:val="3B7F12F6"/>
    <w:rsid w:val="3B8E0546"/>
    <w:rsid w:val="3C2B769C"/>
    <w:rsid w:val="3D4536F5"/>
    <w:rsid w:val="3E942A4F"/>
    <w:rsid w:val="40AD4EC0"/>
    <w:rsid w:val="417207D0"/>
    <w:rsid w:val="45C963D3"/>
    <w:rsid w:val="46753A21"/>
    <w:rsid w:val="47EA5951"/>
    <w:rsid w:val="4A112D58"/>
    <w:rsid w:val="4D1F0243"/>
    <w:rsid w:val="4D727811"/>
    <w:rsid w:val="4F350E27"/>
    <w:rsid w:val="4FDC68BF"/>
    <w:rsid w:val="50186B3E"/>
    <w:rsid w:val="505F6CEB"/>
    <w:rsid w:val="54382FF3"/>
    <w:rsid w:val="54E02594"/>
    <w:rsid w:val="5EF369C2"/>
    <w:rsid w:val="5F7D66C9"/>
    <w:rsid w:val="60ED7905"/>
    <w:rsid w:val="63714235"/>
    <w:rsid w:val="6488303F"/>
    <w:rsid w:val="64ED2421"/>
    <w:rsid w:val="664B18ED"/>
    <w:rsid w:val="671A7149"/>
    <w:rsid w:val="69A15FE4"/>
    <w:rsid w:val="6DB30687"/>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1469</Words>
  <Characters>1563</Characters>
  <TotalTime>21</TotalTime>
  <ScaleCrop>false</ScaleCrop>
  <LinksUpToDate>false</LinksUpToDate>
  <CharactersWithSpaces>1614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2025-09-10T01:10:56Z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eyJoZGlkIjoiYjZmYTNmMGU1M2MzZThmMWQ4YjM4YmQ0MTU1M2FiMGYiLCJ1c2VySWQiOiI3MTgxOTMzNzAifQ==</vt:lpwstr>
  </property>
</Properties>
</file>