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0990A">
      <w:pPr>
        <w:spacing w:line="255" w:lineRule="auto"/>
        <w:rPr>
          <w:rFonts w:ascii="Arial"/>
          <w:sz w:val="21"/>
        </w:rPr>
      </w:pPr>
    </w:p>
    <w:p w14:paraId="1273EEC6">
      <w:pPr>
        <w:spacing w:line="256" w:lineRule="auto"/>
        <w:rPr>
          <w:rFonts w:ascii="Arial"/>
          <w:sz w:val="21"/>
        </w:rPr>
      </w:pPr>
    </w:p>
    <w:p w14:paraId="1BCD13FF">
      <w:pPr>
        <w:spacing w:line="256" w:lineRule="auto"/>
        <w:rPr>
          <w:rFonts w:ascii="Arial"/>
          <w:sz w:val="21"/>
        </w:rPr>
      </w:pPr>
    </w:p>
    <w:p w14:paraId="592AABCA">
      <w:pPr>
        <w:spacing w:line="256" w:lineRule="auto"/>
        <w:rPr>
          <w:rFonts w:ascii="Arial"/>
          <w:sz w:val="21"/>
        </w:rPr>
      </w:pPr>
    </w:p>
    <w:p w14:paraId="65DE2BE3">
      <w:pPr>
        <w:spacing w:line="256" w:lineRule="auto"/>
        <w:rPr>
          <w:rFonts w:ascii="Arial"/>
          <w:sz w:val="21"/>
        </w:rPr>
      </w:pPr>
    </w:p>
    <w:p w14:paraId="4F524480">
      <w:pPr>
        <w:spacing w:before="153" w:line="219" w:lineRule="auto"/>
        <w:ind w:left="38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2"/>
          <w:sz w:val="47"/>
          <w:szCs w:val="47"/>
        </w:rPr>
        <w:t>关于广州市花都区2025年度第十五批次城镇</w:t>
      </w:r>
    </w:p>
    <w:p w14:paraId="77113CB9">
      <w:pPr>
        <w:spacing w:before="35" w:line="219" w:lineRule="auto"/>
        <w:ind w:left="50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5"/>
          <w:sz w:val="47"/>
          <w:szCs w:val="47"/>
        </w:rPr>
        <w:t>建设用地(花都区炭步镇鸭湖安置区规划二路</w:t>
      </w:r>
    </w:p>
    <w:p w14:paraId="6FFF5DE4">
      <w:pPr>
        <w:spacing w:before="32" w:line="219" w:lineRule="auto"/>
        <w:ind w:left="69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2"/>
          <w:sz w:val="47"/>
          <w:szCs w:val="47"/>
        </w:rPr>
        <w:t>建设工程)项目被征地农民养老保障方案</w:t>
      </w:r>
    </w:p>
    <w:p w14:paraId="09240F87">
      <w:pPr>
        <w:spacing w:line="302" w:lineRule="auto"/>
        <w:rPr>
          <w:rFonts w:ascii="Arial"/>
          <w:sz w:val="21"/>
        </w:rPr>
      </w:pPr>
    </w:p>
    <w:p w14:paraId="5F7B633A">
      <w:pPr>
        <w:spacing w:line="303" w:lineRule="auto"/>
        <w:rPr>
          <w:rFonts w:ascii="Arial"/>
          <w:sz w:val="21"/>
        </w:rPr>
      </w:pPr>
    </w:p>
    <w:p w14:paraId="76745258">
      <w:pPr>
        <w:pStyle w:val="2"/>
        <w:spacing w:before="104" w:line="317" w:lineRule="auto"/>
        <w:ind w:left="209" w:right="119" w:firstLine="660"/>
        <w:jc w:val="both"/>
      </w:pPr>
      <w:r>
        <w:rPr>
          <w:spacing w:val="-5"/>
        </w:rPr>
        <w:t>依照《中华人民共和国土地管理法》《关于</w:t>
      </w:r>
      <w:r>
        <w:rPr>
          <w:spacing w:val="-6"/>
        </w:rPr>
        <w:t>切实做好被征地</w:t>
      </w:r>
      <w:r>
        <w:t xml:space="preserve"> </w:t>
      </w:r>
      <w:r>
        <w:rPr>
          <w:spacing w:val="5"/>
        </w:rPr>
        <w:t>农民社会保障工作有关问题的通知》(劳社部发〔2007〕14号，</w:t>
      </w:r>
      <w:r>
        <w:rPr>
          <w:spacing w:val="4"/>
        </w:rPr>
        <w:t xml:space="preserve"> </w:t>
      </w:r>
      <w:r>
        <w:rPr>
          <w:spacing w:val="11"/>
        </w:rPr>
        <w:t>下称劳社部发〔2007〕14号)、《广东省人民政府办公厅转发</w:t>
      </w:r>
      <w:r>
        <w:rPr>
          <w:spacing w:val="13"/>
        </w:rPr>
        <w:t xml:space="preserve"> </w:t>
      </w:r>
      <w:r>
        <w:rPr>
          <w:spacing w:val="7"/>
        </w:rPr>
        <w:t>省人力资源社会保障厅关于进一步完善我省被征</w:t>
      </w:r>
      <w:r>
        <w:rPr>
          <w:spacing w:val="6"/>
        </w:rPr>
        <w:t>地农民养老保</w:t>
      </w:r>
      <w:r>
        <w:t xml:space="preserve"> </w:t>
      </w:r>
      <w:r>
        <w:rPr>
          <w:spacing w:val="16"/>
        </w:rPr>
        <w:t>障政策意见的通知》(粤府办〔2021〕22号)和《广州市人民</w:t>
      </w:r>
      <w:r>
        <w:t xml:space="preserve">  </w:t>
      </w:r>
      <w:r>
        <w:rPr>
          <w:spacing w:val="7"/>
        </w:rPr>
        <w:t>政府办公厅转发关于进一步完善我省被征地农</w:t>
      </w:r>
      <w:r>
        <w:rPr>
          <w:spacing w:val="6"/>
        </w:rPr>
        <w:t>民养老保障政策</w:t>
      </w:r>
      <w:r>
        <w:t xml:space="preserve"> </w:t>
      </w:r>
      <w:r>
        <w:rPr>
          <w:spacing w:val="11"/>
        </w:rPr>
        <w:t xml:space="preserve">意见的通知》(穗府办规〔2022〕3号)等有关规定，拟定广州 </w:t>
      </w:r>
      <w:r>
        <w:rPr>
          <w:spacing w:val="12"/>
        </w:rPr>
        <w:t>市花都区2025年度第十五批次城镇建设用地(花</w:t>
      </w:r>
      <w:r>
        <w:rPr>
          <w:spacing w:val="11"/>
        </w:rPr>
        <w:t>都区炭步镇鸭</w:t>
      </w:r>
      <w:r>
        <w:t xml:space="preserve"> </w:t>
      </w:r>
      <w:r>
        <w:rPr>
          <w:spacing w:val="3"/>
        </w:rPr>
        <w:t>湖安置区规划二路建设工程)被征地农民养老保障方案</w:t>
      </w:r>
      <w:r>
        <w:rPr>
          <w:spacing w:val="2"/>
        </w:rPr>
        <w:t>如下：</w:t>
      </w:r>
    </w:p>
    <w:p w14:paraId="5CCE690B">
      <w:pPr>
        <w:pStyle w:val="2"/>
        <w:spacing w:before="100" w:line="285" w:lineRule="auto"/>
        <w:ind w:left="209" w:right="253" w:firstLine="660"/>
      </w:pPr>
      <w:r>
        <w:t>一、对广州市花都区2025年度第十五批次城镇建设用地(花</w:t>
      </w:r>
      <w:r>
        <w:rPr>
          <w:spacing w:val="5"/>
        </w:rPr>
        <w:t xml:space="preserve"> </w:t>
      </w:r>
      <w:r>
        <w:rPr>
          <w:spacing w:val="1"/>
        </w:rPr>
        <w:t>都区炭步镇鸭湖安置区规划二路建设工程)项目涉</w:t>
      </w:r>
      <w:r>
        <w:t xml:space="preserve">及的被征地农 </w:t>
      </w:r>
      <w:r>
        <w:rPr>
          <w:spacing w:val="-5"/>
        </w:rPr>
        <w:t>民实施社会养老保障。</w:t>
      </w:r>
    </w:p>
    <w:p w14:paraId="4EF48F61">
      <w:pPr>
        <w:pStyle w:val="2"/>
        <w:spacing w:before="187" w:line="287" w:lineRule="auto"/>
        <w:ind w:left="209" w:right="119" w:firstLine="660"/>
      </w:pPr>
      <w:r>
        <w:rPr>
          <w:spacing w:val="-5"/>
        </w:rPr>
        <w:t>二、征地社保费筹集。依据市规划和自然资源局花</w:t>
      </w:r>
      <w:r>
        <w:rPr>
          <w:spacing w:val="-6"/>
        </w:rPr>
        <w:t>都区分局</w:t>
      </w:r>
      <w:r>
        <w:t xml:space="preserve"> 提供情况，该项目征收我区炭步镇鸭湖村土地面积共9.7020亩， </w:t>
      </w:r>
      <w:r>
        <w:rPr>
          <w:spacing w:val="1"/>
        </w:rPr>
        <w:t>其中0亩属于农村集体经济组织留用地，征地双方目前尚未完成</w:t>
      </w:r>
    </w:p>
    <w:p w14:paraId="57654D6C">
      <w:pPr>
        <w:spacing w:line="287" w:lineRule="auto"/>
        <w:sectPr>
          <w:footerReference r:id="rId5" w:type="default"/>
          <w:pgSz w:w="11910" w:h="16850"/>
          <w:pgMar w:top="1432" w:right="1210" w:bottom="1589" w:left="1410" w:header="0" w:footer="1529" w:gutter="0"/>
          <w:cols w:space="720" w:num="1"/>
        </w:sectPr>
      </w:pPr>
    </w:p>
    <w:p w14:paraId="5EEEF95E">
      <w:pPr>
        <w:spacing w:line="274" w:lineRule="auto"/>
        <w:rPr>
          <w:rFonts w:ascii="Arial"/>
          <w:sz w:val="21"/>
        </w:rPr>
      </w:pPr>
    </w:p>
    <w:p w14:paraId="63798F3C">
      <w:pPr>
        <w:spacing w:line="274" w:lineRule="auto"/>
        <w:rPr>
          <w:rFonts w:ascii="Arial"/>
          <w:sz w:val="21"/>
        </w:rPr>
      </w:pPr>
    </w:p>
    <w:p w14:paraId="3F348399">
      <w:pPr>
        <w:spacing w:line="275" w:lineRule="auto"/>
        <w:rPr>
          <w:rFonts w:ascii="Arial"/>
          <w:sz w:val="21"/>
        </w:rPr>
      </w:pPr>
    </w:p>
    <w:p w14:paraId="257BA398">
      <w:pPr>
        <w:pStyle w:val="2"/>
        <w:spacing w:before="101" w:line="333" w:lineRule="auto"/>
        <w:ind w:right="24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征地补偿安置协议签订。该项目征地社保费应按2.14万元/亩的</w:t>
      </w:r>
      <w:r>
        <w:rPr>
          <w:spacing w:val="1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标准计提(即征地补偿安置方案制定时，我区每亩平均征收农用</w:t>
      </w:r>
      <w:r>
        <w:rPr>
          <w:spacing w:val="7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地综合区片地价13.33万元/亩的16%),其中0亩属于农村集体</w:t>
      </w:r>
      <w:r>
        <w:rPr>
          <w:spacing w:val="5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经济组织留用地，按规定不计提征地社保费，需计提费用共</w:t>
      </w:r>
      <w:r>
        <w:rPr>
          <w:spacing w:val="-3"/>
          <w:sz w:val="31"/>
          <w:szCs w:val="31"/>
        </w:rPr>
        <w:t>20.77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万元由征地主体(用地单位)一次性预存入我区人力资源社会保</w:t>
      </w:r>
      <w:r>
        <w:rPr>
          <w:spacing w:val="11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障部门开设的“收缴被征地农民养老保障资金过渡户</w:t>
      </w:r>
      <w:r>
        <w:rPr>
          <w:spacing w:val="-3"/>
          <w:sz w:val="31"/>
          <w:szCs w:val="31"/>
        </w:rPr>
        <w:t>”,单列计提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并计入征地成本，纳入工程项目概算。</w:t>
      </w:r>
    </w:p>
    <w:p w14:paraId="234DFE71">
      <w:pPr>
        <w:pStyle w:val="2"/>
        <w:spacing w:before="18" w:line="313" w:lineRule="auto"/>
        <w:ind w:firstLine="690"/>
        <w:rPr>
          <w:sz w:val="31"/>
          <w:szCs w:val="31"/>
        </w:rPr>
      </w:pPr>
      <w:r>
        <w:rPr>
          <w:spacing w:val="2"/>
          <w:sz w:val="31"/>
          <w:szCs w:val="31"/>
        </w:rPr>
        <w:t>三、征地社保费补贴对象。按“筹集资金分配到户，户内平</w:t>
      </w:r>
      <w:r>
        <w:rPr>
          <w:spacing w:val="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均分配到人”的基本原则确定征地社保补贴对象。享有农</w:t>
      </w:r>
      <w:r>
        <w:rPr>
          <w:spacing w:val="3"/>
          <w:sz w:val="31"/>
          <w:szCs w:val="31"/>
        </w:rPr>
        <w:t>村集体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土地承包权的农户，其家庭承包的土地被政府依法统一征收，征</w:t>
      </w:r>
      <w:r>
        <w:rPr>
          <w:spacing w:val="4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收安置补偿方案制定时属于农村集体经济组织成员且年满16周</w:t>
      </w:r>
      <w:r>
        <w:rPr>
          <w:spacing w:val="1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岁以上的家庭成员，纳入征地社保补贴对象范围。农村集体经济</w:t>
      </w:r>
      <w:r>
        <w:rPr>
          <w:spacing w:val="9"/>
          <w:sz w:val="31"/>
          <w:szCs w:val="31"/>
        </w:rPr>
        <w:t xml:space="preserve"> 组织另有规定的(如实行土地股份制经济或者集体统一</w:t>
      </w:r>
      <w:r>
        <w:rPr>
          <w:spacing w:val="8"/>
          <w:sz w:val="31"/>
          <w:szCs w:val="31"/>
        </w:rPr>
        <w:t>经营土地</w:t>
      </w:r>
      <w:r>
        <w:rPr>
          <w:sz w:val="31"/>
          <w:szCs w:val="31"/>
        </w:rPr>
        <w:t xml:space="preserve"> </w:t>
      </w:r>
      <w:r>
        <w:rPr>
          <w:spacing w:val="28"/>
          <w:sz w:val="31"/>
          <w:szCs w:val="31"/>
        </w:rPr>
        <w:t>等情况),可从其规定。</w:t>
      </w:r>
    </w:p>
    <w:p w14:paraId="08E67442">
      <w:pPr>
        <w:pStyle w:val="2"/>
        <w:spacing w:before="215" w:line="319" w:lineRule="auto"/>
        <w:ind w:right="17" w:firstLine="690"/>
        <w:rPr>
          <w:sz w:val="31"/>
          <w:szCs w:val="31"/>
        </w:rPr>
      </w:pPr>
      <w:r>
        <w:rPr>
          <w:spacing w:val="-5"/>
          <w:sz w:val="31"/>
          <w:szCs w:val="31"/>
        </w:rPr>
        <w:t>四、征地社保费分配。 一是征地社保费专款用于被征地农民</w:t>
      </w:r>
      <w:r>
        <w:rPr>
          <w:spacing w:val="9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的基本养老保险补贴。二是落实“征地社保费与征地</w:t>
      </w:r>
      <w:r>
        <w:rPr>
          <w:spacing w:val="3"/>
          <w:sz w:val="31"/>
          <w:szCs w:val="31"/>
        </w:rPr>
        <w:t>安置补偿费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同期拨付”和“在项目获批后3个月内完成资金分配工作，落实参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保到人”的有关规定。乡镇人民政府(街道办事处)按规定牵头</w:t>
      </w:r>
      <w:r>
        <w:rPr>
          <w:spacing w:val="1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做好被征地农民的失地面积及纳入征地社保费</w:t>
      </w:r>
      <w:r>
        <w:rPr>
          <w:spacing w:val="14"/>
          <w:sz w:val="31"/>
          <w:szCs w:val="31"/>
        </w:rPr>
        <w:t>补贴范围的人数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和对象审核、报送工作，及时报送所属社会保险经办部门办理社</w:t>
      </w:r>
      <w:r>
        <w:rPr>
          <w:spacing w:val="7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保手续。</w:t>
      </w:r>
    </w:p>
    <w:p w14:paraId="610B9153">
      <w:pPr>
        <w:spacing w:line="319" w:lineRule="auto"/>
        <w:rPr>
          <w:sz w:val="31"/>
          <w:szCs w:val="31"/>
        </w:rPr>
        <w:sectPr>
          <w:footerReference r:id="rId6" w:type="default"/>
          <w:pgSz w:w="11910" w:h="16850"/>
          <w:pgMar w:top="1432" w:right="1489" w:bottom="1446" w:left="1609" w:header="0" w:footer="1041" w:gutter="0"/>
          <w:cols w:space="720" w:num="1"/>
        </w:sectPr>
      </w:pPr>
    </w:p>
    <w:p w14:paraId="1F04FCC9">
      <w:pPr>
        <w:spacing w:line="272" w:lineRule="auto"/>
        <w:rPr>
          <w:rFonts w:ascii="Arial"/>
          <w:sz w:val="21"/>
        </w:rPr>
      </w:pPr>
    </w:p>
    <w:p w14:paraId="63CDBB76">
      <w:pPr>
        <w:spacing w:line="272" w:lineRule="auto"/>
        <w:rPr>
          <w:rFonts w:ascii="Arial"/>
          <w:sz w:val="21"/>
        </w:rPr>
      </w:pPr>
    </w:p>
    <w:p w14:paraId="0B97D6FC">
      <w:pPr>
        <w:spacing w:line="272" w:lineRule="auto"/>
        <w:rPr>
          <w:rFonts w:ascii="Arial"/>
          <w:sz w:val="21"/>
        </w:rPr>
      </w:pPr>
    </w:p>
    <w:p w14:paraId="344A7C9E">
      <w:pPr>
        <w:pStyle w:val="2"/>
        <w:spacing w:before="104" w:line="221" w:lineRule="auto"/>
        <w:ind w:left="573"/>
      </w:pPr>
      <w:r>
        <w:rPr>
          <w:spacing w:val="-3"/>
        </w:rPr>
        <w:t>附件：征地土地和养老保障情况表</w:t>
      </w:r>
    </w:p>
    <w:p w14:paraId="515571B1">
      <w:pPr>
        <w:spacing w:line="250" w:lineRule="auto"/>
        <w:rPr>
          <w:rFonts w:ascii="Arial"/>
          <w:sz w:val="21"/>
        </w:rPr>
      </w:pPr>
    </w:p>
    <w:p w14:paraId="16042530">
      <w:pPr>
        <w:spacing w:line="250" w:lineRule="auto"/>
        <w:rPr>
          <w:rFonts w:ascii="Arial"/>
          <w:sz w:val="21"/>
        </w:rPr>
      </w:pPr>
    </w:p>
    <w:p w14:paraId="6B471336">
      <w:pPr>
        <w:spacing w:line="250" w:lineRule="auto"/>
        <w:rPr>
          <w:rFonts w:ascii="Arial"/>
          <w:sz w:val="21"/>
        </w:rPr>
      </w:pPr>
    </w:p>
    <w:p w14:paraId="358B6617">
      <w:pPr>
        <w:spacing w:line="250" w:lineRule="auto"/>
        <w:rPr>
          <w:rFonts w:ascii="Arial"/>
          <w:sz w:val="21"/>
        </w:rPr>
      </w:pPr>
    </w:p>
    <w:p w14:paraId="740A753B">
      <w:pPr>
        <w:spacing w:line="250" w:lineRule="auto"/>
        <w:rPr>
          <w:rFonts w:ascii="Arial"/>
          <w:sz w:val="21"/>
        </w:rPr>
      </w:pPr>
    </w:p>
    <w:p w14:paraId="69D9945E">
      <w:pPr>
        <w:spacing w:line="250" w:lineRule="auto"/>
        <w:rPr>
          <w:rFonts w:ascii="Arial"/>
          <w:sz w:val="21"/>
        </w:rPr>
      </w:pPr>
    </w:p>
    <w:p w14:paraId="6754A75E">
      <w:pPr>
        <w:spacing w:line="251" w:lineRule="auto"/>
        <w:rPr>
          <w:rFonts w:ascii="Arial"/>
          <w:sz w:val="21"/>
        </w:rPr>
      </w:pPr>
    </w:p>
    <w:p w14:paraId="6C541F04">
      <w:pPr>
        <w:pStyle w:val="2"/>
        <w:spacing w:before="104" w:line="220" w:lineRule="auto"/>
        <w:jc w:val="right"/>
      </w:pPr>
      <w:r>
        <w:rPr>
          <w:spacing w:val="-2"/>
        </w:rPr>
        <w:t>广州市花都区人力资源和社会保障局</w:t>
      </w:r>
    </w:p>
    <w:p w14:paraId="52D39456">
      <w:pPr>
        <w:pStyle w:val="2"/>
        <w:spacing w:before="172" w:line="222" w:lineRule="auto"/>
        <w:ind w:left="4663"/>
      </w:pPr>
      <w:r>
        <w:rPr>
          <w:spacing w:val="38"/>
        </w:rPr>
        <w:t>2025年9月12日</w:t>
      </w:r>
    </w:p>
    <w:p w14:paraId="70A03B1C">
      <w:pPr>
        <w:spacing w:line="222" w:lineRule="auto"/>
        <w:sectPr>
          <w:footerReference r:id="rId7" w:type="default"/>
          <w:pgSz w:w="11910" w:h="16850"/>
          <w:pgMar w:top="1432" w:right="1640" w:bottom="1414" w:left="1786" w:header="0" w:footer="999" w:gutter="0"/>
          <w:cols w:space="720" w:num="1"/>
        </w:sectPr>
      </w:pPr>
    </w:p>
    <w:p w14:paraId="00757E29">
      <w:pPr>
        <w:spacing w:line="277" w:lineRule="auto"/>
        <w:rPr>
          <w:rFonts w:ascii="Arial"/>
          <w:sz w:val="21"/>
        </w:rPr>
      </w:pPr>
    </w:p>
    <w:p w14:paraId="15E70F9E">
      <w:pPr>
        <w:spacing w:line="277" w:lineRule="auto"/>
        <w:rPr>
          <w:rFonts w:ascii="Arial"/>
          <w:sz w:val="21"/>
        </w:rPr>
      </w:pPr>
    </w:p>
    <w:p w14:paraId="1A76F95D">
      <w:pPr>
        <w:spacing w:line="277" w:lineRule="auto"/>
        <w:rPr>
          <w:rFonts w:ascii="Arial"/>
          <w:sz w:val="21"/>
        </w:rPr>
      </w:pPr>
    </w:p>
    <w:p w14:paraId="087BBF8E"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color w:val="203040"/>
          <w:spacing w:val="-11"/>
          <w:sz w:val="32"/>
          <w:szCs w:val="32"/>
        </w:rPr>
        <w:t>附件</w:t>
      </w:r>
    </w:p>
    <w:p w14:paraId="00947376">
      <w:pPr>
        <w:spacing w:before="190" w:line="219" w:lineRule="auto"/>
        <w:ind w:left="16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征收土地及养老保障情况表</w:t>
      </w:r>
    </w:p>
    <w:p w14:paraId="57A0CFB0">
      <w:pPr>
        <w:spacing w:before="236" w:line="220" w:lineRule="auto"/>
        <w:ind w:left="6359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style="position:absolute;left:0pt;margin-left:4.25pt;margin-top:28.8pt;height:0.5pt;width:432pt;z-index:-251657216;mso-width-relative:page;mso-height-relative:page;" filled="f" stroked="t" coordsize="8640,10" path="m0,5l3540,5m3540,5l5199,5m5199,5l7070,5m7070,5l863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27" o:spid="_x0000_s1027" o:spt="202" type="#_x0000_t202" style="position:absolute;left:0pt;margin-left:2.75pt;margin-top:80.05pt;height:41.5pt;width:49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04B734">
                  <w:pPr>
                    <w:spacing w:line="20" w:lineRule="exact"/>
                  </w:pPr>
                </w:p>
                <w:tbl>
                  <w:tblPr>
                    <w:tblStyle w:val="6"/>
                    <w:tblW w:w="9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9"/>
                  </w:tblGrid>
                  <w:tr w14:paraId="103DF9B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9" w:hRule="atLeast"/>
                    </w:trPr>
                    <w:tc>
                      <w:tcPr>
                        <w:tcW w:w="929" w:type="dxa"/>
                        <w:vAlign w:val="top"/>
                      </w:tcPr>
                      <w:p w14:paraId="68FE8E90">
                        <w:pPr>
                          <w:pStyle w:val="7"/>
                          <w:spacing w:before="275" w:line="219" w:lineRule="auto"/>
                          <w:ind w:left="84"/>
                        </w:pPr>
                        <w:r>
                          <w:rPr>
                            <w:spacing w:val="3"/>
                          </w:rPr>
                          <w:t>炭步镇</w:t>
                        </w:r>
                      </w:p>
                    </w:tc>
                  </w:tr>
                </w:tbl>
                <w:p w14:paraId="65EE0BB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79.75pt;margin-top:80.05pt;height:41.5pt;width:85.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009DFD">
                  <w:pPr>
                    <w:spacing w:line="20" w:lineRule="exact"/>
                  </w:pPr>
                </w:p>
                <w:tbl>
                  <w:tblPr>
                    <w:tblStyle w:val="6"/>
                    <w:tblW w:w="16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59"/>
                  </w:tblGrid>
                  <w:tr w14:paraId="35D2BBA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9" w:hRule="atLeast"/>
                    </w:trPr>
                    <w:tc>
                      <w:tcPr>
                        <w:tcW w:w="1659" w:type="dxa"/>
                        <w:vAlign w:val="top"/>
                      </w:tcPr>
                      <w:p w14:paraId="43090B83">
                        <w:pPr>
                          <w:pStyle w:val="7"/>
                          <w:spacing w:before="298" w:line="239" w:lineRule="auto"/>
                          <w:ind w:left="464"/>
                        </w:pPr>
                        <w:r>
                          <w:rPr>
                            <w:spacing w:val="-2"/>
                          </w:rPr>
                          <w:t>9.7020</w:t>
                        </w:r>
                      </w:p>
                    </w:tc>
                  </w:tr>
                </w:tbl>
                <w:p w14:paraId="38D2263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262.7pt;margin-top:80.05pt;height:41.5pt;width:96.0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4A99CA">
                  <w:pPr>
                    <w:spacing w:line="20" w:lineRule="exact"/>
                  </w:pPr>
                </w:p>
                <w:tbl>
                  <w:tblPr>
                    <w:tblStyle w:val="6"/>
                    <w:tblW w:w="18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70"/>
                  </w:tblGrid>
                  <w:tr w14:paraId="3B2C188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9" w:hRule="atLeast"/>
                    </w:trPr>
                    <w:tc>
                      <w:tcPr>
                        <w:tcW w:w="1870" w:type="dxa"/>
                        <w:vAlign w:val="top"/>
                      </w:tcPr>
                      <w:p w14:paraId="4615A988">
                        <w:pPr>
                          <w:pStyle w:val="7"/>
                          <w:spacing w:before="298"/>
                          <w:ind w:left="865"/>
                        </w:pPr>
                        <w:r>
                          <w:t>0</w:t>
                        </w:r>
                      </w:p>
                    </w:tc>
                  </w:tr>
                </w:tbl>
                <w:p w14:paraId="13A4BFE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56.25pt;margin-top:80.05pt;height:41.5pt;width:81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1B0936">
                  <w:pPr>
                    <w:spacing w:line="20" w:lineRule="exact"/>
                  </w:pPr>
                </w:p>
                <w:tbl>
                  <w:tblPr>
                    <w:tblStyle w:val="6"/>
                    <w:tblW w:w="15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69"/>
                  </w:tblGrid>
                  <w:tr w14:paraId="7B78D8E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9" w:hRule="atLeast"/>
                    </w:trPr>
                    <w:tc>
                      <w:tcPr>
                        <w:tcW w:w="1569" w:type="dxa"/>
                        <w:vAlign w:val="top"/>
                      </w:tcPr>
                      <w:p w14:paraId="6CFFFDF8">
                        <w:pPr>
                          <w:pStyle w:val="7"/>
                          <w:spacing w:before="298" w:line="239" w:lineRule="auto"/>
                          <w:ind w:left="474"/>
                        </w:pPr>
                        <w:r>
                          <w:rPr>
                            <w:spacing w:val="-2"/>
                          </w:rPr>
                          <w:t>20.77</w:t>
                        </w:r>
                      </w:p>
                    </w:tc>
                  </w:tr>
                </w:tbl>
                <w:p w14:paraId="3DF3882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49.2pt;margin-top:80.05pt;height:41.5pt;width:133.0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C1D6A8">
                  <w:pPr>
                    <w:spacing w:line="20" w:lineRule="exact"/>
                  </w:pPr>
                </w:p>
                <w:tbl>
                  <w:tblPr>
                    <w:tblStyle w:val="6"/>
                    <w:tblW w:w="26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10"/>
                  </w:tblGrid>
                  <w:tr w14:paraId="6E41F6A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9" w:hRule="atLeast"/>
                    </w:trPr>
                    <w:tc>
                      <w:tcPr>
                        <w:tcW w:w="2610" w:type="dxa"/>
                        <w:vAlign w:val="top"/>
                      </w:tcPr>
                      <w:p w14:paraId="19FD5F41">
                        <w:pPr>
                          <w:pStyle w:val="7"/>
                          <w:spacing w:before="273" w:line="219" w:lineRule="auto"/>
                          <w:ind w:left="105"/>
                        </w:pPr>
                        <w:r>
                          <w:rPr>
                            <w:spacing w:val="1"/>
                          </w:rPr>
                          <w:t>鸭湖村水边经济合作社</w:t>
                        </w:r>
                      </w:p>
                    </w:tc>
                  </w:tr>
                </w:tbl>
                <w:p w14:paraId="0D67368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24"/>
          <w:szCs w:val="24"/>
        </w:rPr>
        <w:t>单位：亩、万元</w:t>
      </w:r>
    </w:p>
    <w:p w14:paraId="73BBDBA4">
      <w:pPr>
        <w:spacing w:line="53" w:lineRule="exact"/>
      </w:pPr>
    </w:p>
    <w:tbl>
      <w:tblPr>
        <w:tblStyle w:val="6"/>
        <w:tblW w:w="8639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0"/>
        <w:gridCol w:w="1658"/>
        <w:gridCol w:w="1868"/>
        <w:gridCol w:w="1573"/>
      </w:tblGrid>
      <w:tr w14:paraId="000FB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3540" w:type="dxa"/>
            <w:tcBorders>
              <w:top w:val="single" w:color="auto" w:sz="4" w:space="0"/>
            </w:tcBorders>
            <w:vAlign w:val="top"/>
          </w:tcPr>
          <w:p w14:paraId="236FE97E">
            <w:pPr>
              <w:spacing w:line="329" w:lineRule="auto"/>
              <w:rPr>
                <w:rFonts w:ascii="Arial"/>
                <w:sz w:val="21"/>
              </w:rPr>
            </w:pPr>
          </w:p>
          <w:p w14:paraId="43950EEA">
            <w:pPr>
              <w:pStyle w:val="7"/>
              <w:spacing w:before="78" w:line="219" w:lineRule="auto"/>
              <w:ind w:left="1164"/>
            </w:pPr>
            <w:r>
              <w:rPr>
                <w:spacing w:val="-2"/>
              </w:rPr>
              <w:t>被征地单位</w:t>
            </w:r>
          </w:p>
        </w:tc>
        <w:tc>
          <w:tcPr>
            <w:tcW w:w="1658" w:type="dxa"/>
            <w:tcBorders>
              <w:top w:val="single" w:color="auto" w:sz="4" w:space="0"/>
            </w:tcBorders>
            <w:vAlign w:val="top"/>
          </w:tcPr>
          <w:p w14:paraId="3C848E8E">
            <w:pPr>
              <w:spacing w:line="329" w:lineRule="auto"/>
              <w:rPr>
                <w:rFonts w:ascii="Arial"/>
                <w:sz w:val="21"/>
              </w:rPr>
            </w:pPr>
          </w:p>
          <w:p w14:paraId="648CE9EC">
            <w:pPr>
              <w:pStyle w:val="7"/>
              <w:spacing w:before="78" w:line="219" w:lineRule="auto"/>
              <w:ind w:left="104"/>
            </w:pPr>
            <w:r>
              <w:rPr>
                <w:spacing w:val="2"/>
              </w:rPr>
              <w:t>征收土地面积</w:t>
            </w:r>
          </w:p>
        </w:tc>
        <w:tc>
          <w:tcPr>
            <w:tcW w:w="1868" w:type="dxa"/>
            <w:tcBorders>
              <w:top w:val="single" w:color="auto" w:sz="4" w:space="0"/>
            </w:tcBorders>
            <w:vAlign w:val="top"/>
          </w:tcPr>
          <w:p w14:paraId="4E512387">
            <w:pPr>
              <w:pStyle w:val="7"/>
              <w:spacing w:before="248" w:line="242" w:lineRule="auto"/>
              <w:ind w:left="86" w:right="75"/>
            </w:pPr>
            <w:r>
              <w:rPr>
                <w:spacing w:val="-2"/>
              </w:rPr>
              <w:t>其中属于被征地</w:t>
            </w:r>
            <w:r>
              <w:rPr>
                <w:spacing w:val="2"/>
              </w:rPr>
              <w:t xml:space="preserve"> 单位留用地面积</w:t>
            </w:r>
          </w:p>
        </w:tc>
        <w:tc>
          <w:tcPr>
            <w:tcW w:w="1573" w:type="dxa"/>
            <w:tcBorders>
              <w:top w:val="single" w:color="auto" w:sz="4" w:space="0"/>
            </w:tcBorders>
            <w:vAlign w:val="top"/>
          </w:tcPr>
          <w:p w14:paraId="01570E9D">
            <w:pPr>
              <w:pStyle w:val="7"/>
              <w:spacing w:before="238" w:line="241" w:lineRule="auto"/>
              <w:ind w:left="417" w:right="174" w:hanging="239"/>
            </w:pPr>
            <w:r>
              <w:rPr>
                <w:spacing w:val="1"/>
              </w:rPr>
              <w:t>需计提征地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社保费</w:t>
            </w:r>
          </w:p>
        </w:tc>
      </w:tr>
    </w:tbl>
    <w:p w14:paraId="7FBD07C2">
      <w:pPr>
        <w:spacing w:line="253" w:lineRule="auto"/>
        <w:rPr>
          <w:rFonts w:ascii="Arial"/>
          <w:sz w:val="21"/>
        </w:rPr>
      </w:pPr>
    </w:p>
    <w:p w14:paraId="1C967E01">
      <w:pPr>
        <w:spacing w:line="253" w:lineRule="auto"/>
        <w:rPr>
          <w:rFonts w:ascii="Arial"/>
          <w:sz w:val="21"/>
        </w:rPr>
      </w:pPr>
    </w:p>
    <w:p w14:paraId="39739A58">
      <w:pPr>
        <w:spacing w:line="253" w:lineRule="auto"/>
        <w:rPr>
          <w:rFonts w:ascii="Arial"/>
          <w:sz w:val="21"/>
        </w:rPr>
      </w:pPr>
      <w:r>
        <w:pict>
          <v:shape id="_x0000_s1032" o:spid="_x0000_s1032" o:spt="202" type="#_x0000_t202" style="position:absolute;left:0pt;margin-left:179.75pt;margin-top:12.1pt;height:41.05pt;width:85.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41505C">
                  <w:pPr>
                    <w:spacing w:line="20" w:lineRule="exact"/>
                  </w:pPr>
                </w:p>
                <w:tbl>
                  <w:tblPr>
                    <w:tblStyle w:val="6"/>
                    <w:tblW w:w="16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59"/>
                  </w:tblGrid>
                  <w:tr w14:paraId="2178AD0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659" w:type="dxa"/>
                        <w:vAlign w:val="top"/>
                      </w:tcPr>
                      <w:p w14:paraId="470D20A3">
                        <w:pPr>
                          <w:pStyle w:val="7"/>
                          <w:spacing w:before="288" w:line="239" w:lineRule="auto"/>
                          <w:ind w:left="464"/>
                        </w:pPr>
                        <w:r>
                          <w:rPr>
                            <w:spacing w:val="-2"/>
                          </w:rPr>
                          <w:t>9.7020</w:t>
                        </w:r>
                      </w:p>
                    </w:tc>
                  </w:tr>
                </w:tbl>
                <w:p w14:paraId="439DC41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262.7pt;margin-top:12.1pt;height:41.05pt;width:96.0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9F58A1">
                  <w:pPr>
                    <w:spacing w:line="20" w:lineRule="exact"/>
                  </w:pPr>
                </w:p>
                <w:tbl>
                  <w:tblPr>
                    <w:tblStyle w:val="6"/>
                    <w:tblW w:w="18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70"/>
                  </w:tblGrid>
                  <w:tr w14:paraId="2D9669C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870" w:type="dxa"/>
                        <w:vAlign w:val="top"/>
                      </w:tcPr>
                      <w:p w14:paraId="0E70EEC1">
                        <w:pPr>
                          <w:pStyle w:val="7"/>
                          <w:spacing w:before="288"/>
                          <w:ind w:left="865"/>
                        </w:pPr>
                        <w:r>
                          <w:t>0</w:t>
                        </w:r>
                      </w:p>
                    </w:tc>
                  </w:tr>
                </w:tbl>
                <w:p w14:paraId="2EBF799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356.25pt;margin-top:12.1pt;height:41.05pt;width:81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30CC81">
                  <w:pPr>
                    <w:spacing w:line="20" w:lineRule="exact"/>
                  </w:pPr>
                </w:p>
                <w:tbl>
                  <w:tblPr>
                    <w:tblStyle w:val="6"/>
                    <w:tblW w:w="15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69"/>
                  </w:tblGrid>
                  <w:tr w14:paraId="6F96989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569" w:type="dxa"/>
                        <w:vAlign w:val="top"/>
                      </w:tcPr>
                      <w:p w14:paraId="1A78ACF0">
                        <w:pPr>
                          <w:pStyle w:val="7"/>
                          <w:spacing w:before="288" w:line="239" w:lineRule="auto"/>
                          <w:ind w:left="474"/>
                        </w:pPr>
                        <w:r>
                          <w:rPr>
                            <w:spacing w:val="-2"/>
                          </w:rPr>
                          <w:t>20.77</w:t>
                        </w:r>
                      </w:p>
                    </w:tc>
                  </w:tr>
                </w:tbl>
                <w:p w14:paraId="3F3C322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2.75pt;margin-top:12.1pt;height:41.05pt;width:179.5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7338DB">
                  <w:pPr>
                    <w:spacing w:line="20" w:lineRule="exact"/>
                  </w:pPr>
                </w:p>
                <w:tbl>
                  <w:tblPr>
                    <w:tblStyle w:val="6"/>
                    <w:tblW w:w="35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40"/>
                  </w:tblGrid>
                  <w:tr w14:paraId="59A5949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3540" w:type="dxa"/>
                        <w:vAlign w:val="top"/>
                      </w:tcPr>
                      <w:p w14:paraId="0C237A7F">
                        <w:pPr>
                          <w:pStyle w:val="7"/>
                          <w:spacing w:before="266" w:line="221" w:lineRule="auto"/>
                          <w:ind w:left="1524"/>
                        </w:pPr>
                        <w:r>
                          <w:rPr>
                            <w:spacing w:val="5"/>
                          </w:rPr>
                          <w:t>合计</w:t>
                        </w:r>
                      </w:p>
                    </w:tc>
                  </w:tr>
                </w:tbl>
                <w:p w14:paraId="55854CF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3AA6F812">
      <w:pPr>
        <w:spacing w:line="253" w:lineRule="auto"/>
        <w:rPr>
          <w:rFonts w:ascii="Arial"/>
          <w:sz w:val="21"/>
        </w:rPr>
      </w:pPr>
    </w:p>
    <w:p w14:paraId="3E60CC1E">
      <w:pPr>
        <w:spacing w:line="253" w:lineRule="auto"/>
        <w:rPr>
          <w:rFonts w:ascii="Arial"/>
          <w:sz w:val="21"/>
        </w:rPr>
      </w:pPr>
    </w:p>
    <w:p w14:paraId="1D17EF74">
      <w:pPr>
        <w:spacing w:line="253" w:lineRule="auto"/>
        <w:rPr>
          <w:rFonts w:ascii="Arial"/>
          <w:sz w:val="21"/>
        </w:rPr>
      </w:pPr>
    </w:p>
    <w:p w14:paraId="72237483">
      <w:pPr>
        <w:pStyle w:val="2"/>
        <w:spacing w:before="79" w:line="251" w:lineRule="auto"/>
        <w:ind w:right="157" w:firstLine="10"/>
        <w:jc w:val="both"/>
        <w:rPr>
          <w:spacing w:val="5"/>
          <w:sz w:val="23"/>
          <w:szCs w:val="23"/>
        </w:rPr>
      </w:pPr>
      <w:r>
        <w:rPr>
          <w:spacing w:val="5"/>
          <w:sz w:val="23"/>
          <w:szCs w:val="23"/>
        </w:rPr>
        <w:t>备注：该项目按2.14万元/亩的标准计提征地社保费，即：按征地补偿安置方案制 定时，花都区平均每亩征收</w:t>
      </w:r>
      <w:bookmarkStart w:id="0" w:name="_GoBack"/>
      <w:bookmarkEnd w:id="0"/>
      <w:r>
        <w:rPr>
          <w:spacing w:val="5"/>
          <w:sz w:val="23"/>
          <w:szCs w:val="23"/>
        </w:rPr>
        <w:t xml:space="preserve">农用地区片综合地价13.33万元/亩的16%。属于农村集 </w:t>
      </w:r>
      <w:r>
        <w:rPr>
          <w:spacing w:val="5"/>
          <w:sz w:val="23"/>
          <w:szCs w:val="23"/>
        </w:rPr>
        <w:t>体经济组织留用地的，按规定不计提征地社保费。</w:t>
      </w:r>
    </w:p>
    <w:sectPr>
      <w:footerReference r:id="rId8" w:type="default"/>
      <w:pgSz w:w="11910" w:h="16850"/>
      <w:pgMar w:top="1432" w:right="1554" w:bottom="1394" w:left="1630" w:header="0" w:footer="9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3A4EC">
    <w:pPr>
      <w:spacing w:line="49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9634E">
    <w:pPr>
      <w:spacing w:line="235" w:lineRule="auto"/>
      <w:ind w:left="33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</w:t>
    </w:r>
    <w:r>
      <w:rPr>
        <w:rFonts w:ascii="宋体" w:hAnsi="宋体" w:eastAsia="宋体" w:cs="宋体"/>
        <w:spacing w:val="45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2</w:t>
    </w:r>
    <w:r>
      <w:rPr>
        <w:rFonts w:ascii="宋体" w:hAnsi="宋体" w:eastAsia="宋体" w:cs="宋体"/>
        <w:spacing w:val="96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10D7A">
    <w:pPr>
      <w:spacing w:before="1" w:line="233" w:lineRule="auto"/>
      <w:ind w:left="7183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0"/>
        <w:sz w:val="32"/>
        <w:szCs w:val="32"/>
      </w:rPr>
      <w:t>—</w:t>
    </w:r>
    <w:r>
      <w:rPr>
        <w:rFonts w:ascii="宋体" w:hAnsi="宋体" w:eastAsia="宋体" w:cs="宋体"/>
        <w:spacing w:val="50"/>
        <w:sz w:val="32"/>
        <w:szCs w:val="32"/>
      </w:rPr>
      <w:t xml:space="preserve"> </w:t>
    </w:r>
    <w:r>
      <w:rPr>
        <w:rFonts w:ascii="宋体" w:hAnsi="宋体" w:eastAsia="宋体" w:cs="宋体"/>
        <w:spacing w:val="-10"/>
        <w:sz w:val="32"/>
        <w:szCs w:val="32"/>
      </w:rPr>
      <w:t>3</w:t>
    </w:r>
    <w:r>
      <w:rPr>
        <w:rFonts w:ascii="宋体" w:hAnsi="宋体" w:eastAsia="宋体" w:cs="宋体"/>
        <w:spacing w:val="79"/>
        <w:sz w:val="32"/>
        <w:szCs w:val="32"/>
      </w:rPr>
      <w:t xml:space="preserve"> </w:t>
    </w:r>
    <w:r>
      <w:rPr>
        <w:rFonts w:ascii="宋体" w:hAnsi="宋体" w:eastAsia="宋体" w:cs="宋体"/>
        <w:spacing w:val="-10"/>
        <w:sz w:val="32"/>
        <w:szCs w:val="32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71E7">
    <w:pPr>
      <w:spacing w:line="235" w:lineRule="auto"/>
      <w:ind w:left="28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</w:t>
    </w:r>
    <w:r>
      <w:rPr>
        <w:rFonts w:ascii="宋体" w:hAnsi="宋体" w:eastAsia="宋体" w:cs="宋体"/>
        <w:spacing w:val="50"/>
        <w:sz w:val="32"/>
        <w:szCs w:val="32"/>
      </w:rPr>
      <w:t xml:space="preserve">  </w:t>
    </w:r>
    <w:r>
      <w:rPr>
        <w:rFonts w:ascii="宋体" w:hAnsi="宋体" w:eastAsia="宋体" w:cs="宋体"/>
        <w:spacing w:val="-4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2E07BE"/>
    <w:rsid w:val="7F6D5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1161</Words>
  <Characters>1220</Characters>
  <TotalTime>0</TotalTime>
  <ScaleCrop>false</ScaleCrop>
  <LinksUpToDate>false</LinksUpToDate>
  <CharactersWithSpaces>1257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2025-09-15T16:59:00Z</dcterms:created>
  <dc:creator>Administrator</dc:creator>
  <cp:lastModifiedBy>KingStorm</cp:lastModifiedBy>
  <dcterms:modified xsi:type="dcterms:W3CDTF">2025-09-15T09:00:39Z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2025-09-15T16:59:30Z</vt:filetime>
  </property>
  <property fmtid="{D5CDD505-2E9C-101B-9397-08002B2CF9AE}" pid="4" name="UsrData">
    <vt:lpwstr>68c7d56f5d57c9001f96eddcwl</vt:lpwstr>
  </property>
  <property fmtid="{D5CDD505-2E9C-101B-9397-08002B2CF9AE}" pid="5" name="KSOTemplateDocerSaveRecord">
    <vt:lpwstr>eyJoZGlkIjoiOGFhZDdhYjg5N2Y5YzBjZmQxYzQ5ODBhZWQxYzkyYjYiLCJ1c2VySWQiOiIzODMzNjcwMzgifQ==</vt:lpwstr>
  </property>
  <property fmtid="{D5CDD505-2E9C-101B-9397-08002B2CF9AE}" pid="6" name="KSOProductBuildVer">
    <vt:lpwstr>2052-12.1.0.22529</vt:lpwstr>
  </property>
  <property fmtid="{D5CDD505-2E9C-101B-9397-08002B2CF9AE}" pid="7" name="ICV">
    <vt:lpwstr>41D18FE8C63C47EF8171FD5292274778_12</vt:lpwstr>
  </property>
</Properties>
</file>