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小标宋简体" w:hAnsi="方正小标宋简体" w:eastAsia="方正小标宋简体" w:cs="方正小标宋简体"/>
          <w:bCs/>
          <w:color w:val="000000"/>
          <w:sz w:val="44"/>
          <w:szCs w:val="44"/>
        </w:rPr>
      </w:pPr>
      <w:r>
        <w:rPr>
          <w:rFonts w:hint="eastAsia" w:ascii="黑体" w:hAnsi="黑体" w:eastAsia="黑体" w:cs="黑体"/>
          <w:shd w:val="clear" w:color="auto" w:fill="auto"/>
          <w:lang w:val="en-US" w:eastAsia="zh-CN" w:bidi="ar-SA"/>
        </w:rPr>
        <w:t>附件</w:t>
      </w:r>
      <w:r>
        <w:rPr>
          <w:rFonts w:hint="eastAsia" w:eastAsia="黑体" w:cs="Times New Roman"/>
          <w:shd w:val="clear" w:color="auto" w:fill="auto"/>
          <w:lang w:val="en-US" w:eastAsia="zh-CN" w:bidi="ar-SA"/>
        </w:rPr>
        <w:t>1</w:t>
      </w:r>
    </w:p>
    <w:p>
      <w:pPr>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w:t>
      </w:r>
      <w:r>
        <w:rPr>
          <w:rFonts w:hint="eastAsia" w:ascii="仿宋_GB2312" w:hAnsi="仿宋_GB2312" w:cs="仿宋_GB2312"/>
          <w:color w:val="auto"/>
          <w:kern w:val="0"/>
          <w:shd w:val="clear" w:color="auto" w:fill="FFFFFF"/>
          <w:lang w:bidi="ar"/>
        </w:rPr>
        <w:t>转发关于进一步完善</w:t>
      </w:r>
      <w:r>
        <w:rPr>
          <w:rFonts w:hint="default" w:ascii="Times New Roman" w:hAnsi="Times New Roman" w:cs="Times New Roman"/>
          <w:lang w:val="en-US" w:eastAsia="zh-CN"/>
        </w:rPr>
        <w:t>我省被征地农民养老保障政策意见的通知》（穗府办规〔2022〕3号）有关规定精神，拟定广州市天河区202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六</w:t>
      </w:r>
      <w:r>
        <w:rPr>
          <w:rFonts w:hint="default" w:ascii="Times New Roman" w:hAnsi="Times New Roman" w:cs="Times New Roman"/>
          <w:lang w:val="en-US" w:eastAsia="zh-CN"/>
        </w:rPr>
        <w:t>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六</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棠下</w:t>
      </w:r>
      <w:r>
        <w:rPr>
          <w:rFonts w:hint="default" w:ascii="Times New Roman" w:hAnsi="Times New Roman" w:cs="Times New Roman"/>
          <w:kern w:val="2"/>
          <w:sz w:val="32"/>
          <w:szCs w:val="32"/>
        </w:rPr>
        <w:t>街</w:t>
      </w:r>
      <w:r>
        <w:rPr>
          <w:rFonts w:hint="eastAsia" w:cs="Times New Roman"/>
          <w:kern w:val="2"/>
          <w:sz w:val="32"/>
          <w:szCs w:val="32"/>
          <w:lang w:eastAsia="zh-CN"/>
        </w:rPr>
        <w:t>棠下</w:t>
      </w:r>
      <w:r>
        <w:rPr>
          <w:rFonts w:hint="default" w:ascii="Times New Roman" w:hAnsi="Times New Roman" w:cs="Times New Roman"/>
          <w:kern w:val="2"/>
          <w:sz w:val="32"/>
          <w:szCs w:val="32"/>
          <w:lang w:eastAsia="zh-CN"/>
        </w:rPr>
        <w:t>股份合作经济联社</w:t>
      </w:r>
      <w:r>
        <w:rPr>
          <w:rFonts w:hint="eastAsia" w:cs="Times New Roman"/>
          <w:kern w:val="2"/>
          <w:sz w:val="32"/>
          <w:szCs w:val="32"/>
          <w:lang w:eastAsia="zh-CN"/>
        </w:rPr>
        <w:t>、棠东</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w:t>
      </w:r>
      <w:r>
        <w:rPr>
          <w:rFonts w:hint="eastAsia" w:cs="Times New Roman"/>
          <w:lang w:eastAsia="zh-CN"/>
        </w:rPr>
        <w:t>共计</w:t>
      </w:r>
      <w:r>
        <w:rPr>
          <w:rFonts w:hint="eastAsia" w:cs="Times New Roman"/>
          <w:lang w:val="en-US" w:eastAsia="zh-CN"/>
        </w:rPr>
        <w:t>45.8460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rPr>
        <w:t>征地双方于</w:t>
      </w:r>
      <w:r>
        <w:rPr>
          <w:rFonts w:hint="eastAsia" w:ascii="仿宋_GB2312" w:hAnsi="仿宋_GB2312" w:cs="仿宋_GB2312"/>
          <w:lang w:val="en-US" w:eastAsia="zh-CN"/>
        </w:rPr>
        <w:t>2024</w:t>
      </w:r>
      <w:r>
        <w:rPr>
          <w:rFonts w:hint="eastAsia" w:ascii="仿宋_GB2312" w:hAnsi="仿宋_GB2312" w:cs="仿宋_GB2312"/>
        </w:rPr>
        <w:t>年</w:t>
      </w:r>
      <w:r>
        <w:rPr>
          <w:rFonts w:hint="eastAsia" w:ascii="仿宋_GB2312" w:hAnsi="仿宋_GB2312" w:cs="仿宋_GB2312"/>
          <w:lang w:val="en-US" w:eastAsia="zh-CN"/>
        </w:rPr>
        <w:t>4</w:t>
      </w:r>
      <w:r>
        <w:rPr>
          <w:rFonts w:hint="eastAsia" w:ascii="仿宋_GB2312" w:hAnsi="仿宋_GB2312" w:cs="仿宋_GB2312"/>
        </w:rPr>
        <w:t>月完成征地补偿安置协议签订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252.16</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default" w:ascii="Times New Roman" w:hAnsi="Times New Roman" w:eastAsia="黑体" w:cs="Times New Roman"/>
          <w:bCs/>
          <w:color w:val="auto"/>
          <w:kern w:val="0"/>
          <w:shd w:val="clear" w:color="auto" w:fill="FFFFFF"/>
          <w:lang w:bidi="ar"/>
        </w:rPr>
        <w:t>四、</w:t>
      </w:r>
      <w:r>
        <w:rPr>
          <w:rFonts w:ascii="黑体" w:hAnsi="黑体" w:eastAsia="黑体" w:cs="仿宋_GB2312"/>
          <w:bCs w:val="0"/>
          <w:color w:val="auto"/>
          <w:kern w:val="2"/>
          <w:shd w:val="clear" w:color="auto" w:fill="auto"/>
          <w:lang w:bidi="ar-SA"/>
        </w:rPr>
        <w:t>征地社保费</w:t>
      </w:r>
      <w:r>
        <w:rPr>
          <w:rFonts w:hint="eastAsia" w:ascii="黑体" w:hAnsi="黑体" w:eastAsia="黑体" w:cs="仿宋_GB2312"/>
          <w:bCs w:val="0"/>
          <w:color w:val="auto"/>
          <w:kern w:val="2"/>
          <w:shd w:val="clear" w:color="auto" w:fill="auto"/>
          <w:lang w:val="en-US" w:eastAsia="zh-CN" w:bidi="ar-SA"/>
        </w:rPr>
        <w:t>分配</w:t>
      </w:r>
      <w:r>
        <w:rPr>
          <w:rFonts w:ascii="黑体" w:hAnsi="黑体" w:eastAsia="黑体" w:cs="仿宋_GB2312"/>
          <w:bCs w:val="0"/>
          <w:color w:val="auto"/>
          <w:kern w:val="2"/>
          <w:shd w:val="clear" w:color="auto" w:fill="auto"/>
          <w:lang w:bidi="ar-SA"/>
        </w:rPr>
        <w:t>。</w:t>
      </w:r>
      <w:r>
        <w:rPr>
          <w:rFonts w:hint="eastAsia" w:ascii="仿宋_GB2312" w:hAnsi="仿宋_GB2312" w:eastAsia="仿宋_GB2312" w:cs="仿宋_GB2312"/>
          <w:b/>
          <w:color w:val="auto"/>
        </w:rPr>
        <w:t>一是</w:t>
      </w:r>
      <w:r>
        <w:rPr>
          <w:rFonts w:ascii="仿宋_GB2312" w:hAnsi="仿宋_GB2312" w:eastAsia="仿宋_GB2312" w:cs="仿宋_GB2312"/>
          <w:b w:val="0"/>
          <w:bCs/>
          <w:color w:val="auto"/>
        </w:rPr>
        <w:t>征地社保</w:t>
      </w:r>
      <w:r>
        <w:rPr>
          <w:rFonts w:ascii="仿宋_GB2312" w:hAnsi="仿宋_GB2312" w:cs="仿宋_GB2312"/>
          <w:color w:val="auto"/>
        </w:rPr>
        <w:t>费</w:t>
      </w:r>
      <w:r>
        <w:rPr>
          <w:rFonts w:hint="eastAsia" w:ascii="仿宋_GB2312" w:hAnsi="仿宋_GB2312" w:cs="仿宋_GB2312"/>
          <w:color w:val="auto"/>
        </w:rPr>
        <w:t>专款用于被征地农民</w:t>
      </w:r>
      <w:r>
        <w:rPr>
          <w:rFonts w:hint="eastAsia" w:ascii="仿宋_GB2312" w:hAnsi="仿宋_GB2312" w:cs="仿宋_GB2312"/>
          <w:color w:val="auto"/>
          <w:lang w:val="en-US" w:eastAsia="zh-CN"/>
        </w:rPr>
        <w:t>的基本</w:t>
      </w:r>
      <w:r>
        <w:rPr>
          <w:rFonts w:hint="eastAsia" w:ascii="仿宋_GB2312" w:hAnsi="仿宋_GB2312" w:cs="仿宋_GB2312"/>
          <w:color w:val="auto"/>
        </w:rPr>
        <w:t>养老保险</w:t>
      </w:r>
      <w:r>
        <w:rPr>
          <w:rFonts w:hint="eastAsia" w:ascii="仿宋_GB2312" w:hAnsi="仿宋_GB2312" w:cs="仿宋_GB2312"/>
          <w:color w:val="auto"/>
          <w:lang w:val="en-US" w:eastAsia="zh-CN"/>
        </w:rPr>
        <w:t>补贴。</w:t>
      </w:r>
      <w:r>
        <w:rPr>
          <w:rFonts w:hint="eastAsia" w:ascii="仿宋_GB2312" w:hAnsi="仿宋_GB2312" w:cs="仿宋_GB2312"/>
          <w:b/>
          <w:bCs/>
          <w:color w:val="auto"/>
          <w:lang w:val="en-US" w:eastAsia="zh-CN"/>
        </w:rPr>
        <w:t>二是</w:t>
      </w:r>
      <w:r>
        <w:rPr>
          <w:rFonts w:hint="eastAsia" w:ascii="仿宋_GB2312" w:hAnsi="仿宋_GB2312" w:cs="仿宋_GB2312"/>
          <w:b w:val="0"/>
          <w:bCs/>
          <w:color w:val="auto"/>
          <w:lang w:val="en-US" w:eastAsia="zh-CN"/>
        </w:rPr>
        <w:t>落实“</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b w:val="0"/>
          <w:bCs/>
          <w:color w:val="auto"/>
          <w:lang w:eastAsia="zh-CN"/>
        </w:rPr>
        <w:t>棠下</w:t>
      </w:r>
      <w:r>
        <w:rPr>
          <w:rFonts w:hint="eastAsia" w:ascii="仿宋_GB2312" w:hAnsi="仿宋_GB2312" w:cs="仿宋_GB2312"/>
          <w:color w:val="auto"/>
        </w:rPr>
        <w:t>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p>
    <w:p>
      <w:pPr>
        <w:spacing w:line="560" w:lineRule="exact"/>
        <w:ind w:firstLine="640" w:firstLineChars="200"/>
        <w:rPr>
          <w:rFonts w:hint="default" w:ascii="Times New Roman" w:hAnsi="Times New Roman" w:cs="Times New Roman"/>
        </w:rPr>
      </w:pPr>
      <w:r>
        <w:rPr>
          <w:rFonts w:hint="eastAsia" w:ascii="仿宋_GB2312" w:hAnsi="仿宋_GB2312" w:eastAsia="仿宋_GB2312" w:cs="仿宋_GB2312"/>
          <w:bCs w:val="0"/>
          <w:color w:val="auto"/>
          <w:kern w:val="2"/>
          <w:shd w:val="clear" w:color="auto" w:fill="auto"/>
          <w:lang w:bidi="ar-SA"/>
        </w:rPr>
        <w:t>附表：</w:t>
      </w:r>
      <w:r>
        <w:rPr>
          <w:rFonts w:hint="default" w:ascii="Times New Roman" w:hAnsi="Times New Roman" w:cs="Times New Roman"/>
          <w:lang w:val="en-US" w:eastAsia="zh-CN"/>
        </w:rPr>
        <w:t>广州市天河区202</w:t>
      </w:r>
      <w:r>
        <w:rPr>
          <w:rFonts w:hint="eastAsia" w:cs="Times New Roman"/>
          <w:lang w:val="en-US" w:eastAsia="zh-CN"/>
        </w:rPr>
        <w:t>5</w:t>
      </w:r>
      <w:r>
        <w:rPr>
          <w:rFonts w:hint="default" w:ascii="Times New Roman" w:hAnsi="Times New Roman" w:cs="Times New Roman"/>
          <w:lang w:val="en-US" w:eastAsia="zh-CN"/>
        </w:rPr>
        <w:t>年度第</w:t>
      </w:r>
      <w:r>
        <w:rPr>
          <w:rFonts w:hint="eastAsia" w:cs="Times New Roman"/>
          <w:lang w:val="en-US" w:eastAsia="zh-CN"/>
        </w:rPr>
        <w:t>六</w:t>
      </w:r>
      <w:r>
        <w:rPr>
          <w:rFonts w:hint="default" w:ascii="Times New Roman" w:hAnsi="Times New Roman" w:cs="Times New Roman"/>
          <w:lang w:val="en-US" w:eastAsia="zh-CN"/>
        </w:rPr>
        <w:t>批次城市建设用地</w:t>
      </w:r>
      <w:r>
        <w:rPr>
          <w:rFonts w:hint="eastAsia" w:ascii="仿宋_GB2312" w:hAnsi="仿宋_GB2312" w:eastAsia="仿宋_GB2312" w:cs="仿宋_GB2312"/>
          <w:bCs w:val="0"/>
          <w:color w:val="auto"/>
          <w:kern w:val="2"/>
          <w:shd w:val="clear" w:color="auto" w:fill="auto"/>
          <w:lang w:bidi="ar-SA"/>
        </w:rPr>
        <w:t>征地土地</w:t>
      </w:r>
      <w:r>
        <w:rPr>
          <w:rFonts w:hint="eastAsia" w:ascii="仿宋_GB2312" w:hAnsi="仿宋_GB2312" w:cs="仿宋_GB2312"/>
          <w:bCs w:val="0"/>
          <w:color w:val="auto"/>
          <w:kern w:val="2"/>
          <w:shd w:val="clear" w:color="auto" w:fill="auto"/>
          <w:lang w:val="en-US" w:eastAsia="zh-CN" w:bidi="ar-SA"/>
        </w:rPr>
        <w:t>及</w:t>
      </w:r>
      <w:r>
        <w:rPr>
          <w:rFonts w:hint="eastAsia" w:ascii="仿宋_GB2312" w:hAnsi="仿宋_GB2312" w:eastAsia="仿宋_GB2312" w:cs="仿宋_GB2312"/>
          <w:bCs w:val="0"/>
          <w:color w:val="auto"/>
          <w:kern w:val="2"/>
          <w:shd w:val="clear" w:color="auto" w:fill="auto"/>
          <w:lang w:bidi="ar-SA"/>
        </w:rPr>
        <w:t>养老保障情况表</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bookmarkStart w:id="0" w:name="_GoBack"/>
      <w:bookmarkEnd w:id="0"/>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六</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eastAsia" w:cs="Times New Roman"/>
                <w:kern w:val="0"/>
                <w:sz w:val="24"/>
                <w:szCs w:val="24"/>
                <w:lang w:eastAsia="zh-CN"/>
              </w:rPr>
              <w:t>（亩）</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83"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棠下</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棠下</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18.5250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101.89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93"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cs="Times New Roman"/>
                <w:kern w:val="0"/>
                <w:sz w:val="24"/>
                <w:szCs w:val="24"/>
                <w:lang w:val="en-US" w:eastAsia="zh-CN"/>
              </w:rPr>
            </w:pPr>
            <w:r>
              <w:rPr>
                <w:rFonts w:hint="eastAsia" w:cs="Times New Roman"/>
                <w:kern w:val="0"/>
                <w:sz w:val="24"/>
                <w:szCs w:val="24"/>
                <w:lang w:val="en-US" w:eastAsia="zh-CN"/>
              </w:rPr>
              <w:t>棠下街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cs="Times New Roman"/>
                <w:kern w:val="0"/>
                <w:sz w:val="24"/>
                <w:szCs w:val="24"/>
                <w:lang w:val="en-US" w:eastAsia="zh-CN"/>
              </w:rPr>
            </w:pPr>
            <w:r>
              <w:rPr>
                <w:rFonts w:hint="eastAsia" w:cs="Times New Roman"/>
                <w:kern w:val="0"/>
                <w:sz w:val="24"/>
                <w:szCs w:val="24"/>
                <w:lang w:eastAsia="zh-CN"/>
              </w:rPr>
              <w:t>棠东</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cs="Times New Roman"/>
                <w:kern w:val="0"/>
                <w:sz w:val="24"/>
                <w:szCs w:val="24"/>
                <w:lang w:val="en-US" w:eastAsia="zh-CN"/>
              </w:rPr>
            </w:pPr>
            <w:r>
              <w:rPr>
                <w:rFonts w:hint="eastAsia" w:cs="Times New Roman"/>
                <w:kern w:val="0"/>
                <w:sz w:val="24"/>
                <w:szCs w:val="24"/>
                <w:lang w:val="en-US" w:eastAsia="zh-CN"/>
              </w:rPr>
              <w:t>27.3210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cs="Times New Roman"/>
                <w:kern w:val="0"/>
                <w:sz w:val="24"/>
                <w:szCs w:val="24"/>
                <w:lang w:val="en-US" w:eastAsia="zh-CN"/>
              </w:rPr>
            </w:pPr>
            <w:r>
              <w:rPr>
                <w:rFonts w:hint="eastAsia" w:cs="Times New Roman"/>
                <w:kern w:val="0"/>
                <w:sz w:val="24"/>
                <w:szCs w:val="24"/>
                <w:lang w:val="en-US" w:eastAsia="zh-CN"/>
              </w:rPr>
              <w:t>150.27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45.8460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252.16</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1C01297"/>
    <w:rsid w:val="03FB6443"/>
    <w:rsid w:val="0448241D"/>
    <w:rsid w:val="07E936C4"/>
    <w:rsid w:val="0D333397"/>
    <w:rsid w:val="0FE833FE"/>
    <w:rsid w:val="12022CE6"/>
    <w:rsid w:val="12935DBA"/>
    <w:rsid w:val="13FC7D95"/>
    <w:rsid w:val="15297246"/>
    <w:rsid w:val="16C5766C"/>
    <w:rsid w:val="25430104"/>
    <w:rsid w:val="283B5D7A"/>
    <w:rsid w:val="29242E8D"/>
    <w:rsid w:val="2BD54DF2"/>
    <w:rsid w:val="2E172CB1"/>
    <w:rsid w:val="2F6C51E6"/>
    <w:rsid w:val="304871E5"/>
    <w:rsid w:val="3362031D"/>
    <w:rsid w:val="341672B5"/>
    <w:rsid w:val="34E23198"/>
    <w:rsid w:val="351127B9"/>
    <w:rsid w:val="38E45E4F"/>
    <w:rsid w:val="3A2F0E31"/>
    <w:rsid w:val="3A4467CE"/>
    <w:rsid w:val="3B2E3A14"/>
    <w:rsid w:val="3B447C39"/>
    <w:rsid w:val="3BD528DF"/>
    <w:rsid w:val="3CE676C7"/>
    <w:rsid w:val="3CF027B6"/>
    <w:rsid w:val="3E724B9E"/>
    <w:rsid w:val="41662985"/>
    <w:rsid w:val="47323AB8"/>
    <w:rsid w:val="47F9719C"/>
    <w:rsid w:val="49172B6D"/>
    <w:rsid w:val="4D510C85"/>
    <w:rsid w:val="4DB857FA"/>
    <w:rsid w:val="4DC46BE4"/>
    <w:rsid w:val="50CF5D42"/>
    <w:rsid w:val="53375B1C"/>
    <w:rsid w:val="538044F6"/>
    <w:rsid w:val="53B8262A"/>
    <w:rsid w:val="53BE138C"/>
    <w:rsid w:val="55D87AED"/>
    <w:rsid w:val="56763B47"/>
    <w:rsid w:val="56FE08EB"/>
    <w:rsid w:val="5CEC6D99"/>
    <w:rsid w:val="5D585D29"/>
    <w:rsid w:val="5DC9098F"/>
    <w:rsid w:val="5E2F61C6"/>
    <w:rsid w:val="5EFB411B"/>
    <w:rsid w:val="600A3CA4"/>
    <w:rsid w:val="69102985"/>
    <w:rsid w:val="693B554E"/>
    <w:rsid w:val="695548DD"/>
    <w:rsid w:val="6A307F23"/>
    <w:rsid w:val="6B7B2E3D"/>
    <w:rsid w:val="6BEE4347"/>
    <w:rsid w:val="6C56132D"/>
    <w:rsid w:val="6DE95ED1"/>
    <w:rsid w:val="72E07028"/>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0</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Administrator</cp:lastModifiedBy>
  <dcterms:modified xsi:type="dcterms:W3CDTF">2025-09-02T07:06:03Z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