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B9179">
      <w:pPr>
        <w:keepNext w:val="0"/>
        <w:keepLines w:val="0"/>
        <w:pageBreakBefore w:val="0"/>
        <w:widowControl w:val="0"/>
        <w:kinsoku/>
        <w:wordWrap/>
        <w:overflowPunct/>
        <w:topLinePunct w:val="0"/>
        <w:autoSpaceDE/>
        <w:autoSpaceDN/>
        <w:bidi w:val="0"/>
        <w:adjustRightInd/>
        <w:snapToGrid/>
        <w:spacing w:after="0" w:afterLines="0" w:line="560" w:lineRule="exact"/>
        <w:ind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FD6DFCD">
      <w:pPr>
        <w:keepNext w:val="0"/>
        <w:keepLines w:val="0"/>
        <w:pageBreakBefore w:val="0"/>
        <w:widowControl w:val="0"/>
        <w:kinsoku/>
        <w:wordWrap/>
        <w:overflowPunct/>
        <w:topLinePunct w:val="0"/>
        <w:autoSpaceDE/>
        <w:autoSpaceDN/>
        <w:bidi w:val="0"/>
        <w:adjustRightInd/>
        <w:snapToGrid/>
        <w:spacing w:after="0" w:afterLines="0" w:line="560" w:lineRule="exact"/>
        <w:ind w:firstLine="0" w:firstLineChars="0"/>
        <w:jc w:val="center"/>
        <w:textAlignment w:val="auto"/>
        <w:rPr>
          <w:rFonts w:hint="default" w:ascii="Times New Roman" w:hAnsi="Times New Roman" w:eastAsia="仿宋_GB2312" w:cs="Times New Roman"/>
          <w:sz w:val="44"/>
          <w:szCs w:val="44"/>
        </w:rPr>
      </w:pPr>
      <w:r>
        <w:rPr>
          <w:rFonts w:hint="default" w:ascii="Times New Roman" w:hAnsi="Times New Roman" w:eastAsia="方正小标宋简体" w:cs="Times New Roman"/>
          <w:sz w:val="44"/>
          <w:szCs w:val="44"/>
        </w:rPr>
        <w:t>征地补偿安置方案</w:t>
      </w:r>
    </w:p>
    <w:p w14:paraId="0F113981">
      <w:pPr>
        <w:keepNext w:val="0"/>
        <w:keepLines w:val="0"/>
        <w:pageBreakBefore w:val="0"/>
        <w:widowControl w:val="0"/>
        <w:kinsoku/>
        <w:wordWrap/>
        <w:overflowPunct/>
        <w:topLinePunct w:val="0"/>
        <w:autoSpaceDE/>
        <w:autoSpaceDN/>
        <w:bidi w:val="0"/>
        <w:adjustRightInd/>
        <w:snapToGrid/>
        <w:spacing w:line="500" w:lineRule="exact"/>
        <w:ind w:firstLine="0"/>
        <w:textAlignment w:val="auto"/>
        <w:outlineLvl w:val="9"/>
        <w:rPr>
          <w:rFonts w:hint="default" w:ascii="Times New Roman" w:hAnsi="Times New Roman" w:eastAsia="仿宋_GB2312" w:cs="Times New Roman"/>
          <w:sz w:val="32"/>
          <w:szCs w:val="32"/>
        </w:rPr>
      </w:pPr>
    </w:p>
    <w:p w14:paraId="7D562309">
      <w:pPr>
        <w:keepNext w:val="0"/>
        <w:keepLines w:val="0"/>
        <w:pageBreakBefore w:val="0"/>
        <w:widowControl w:val="0"/>
        <w:tabs>
          <w:tab w:val="left" w:pos="0"/>
          <w:tab w:val="left" w:pos="8320"/>
        </w:tabs>
        <w:kinsoku/>
        <w:wordWrap/>
        <w:overflowPunct/>
        <w:topLinePunct w:val="0"/>
        <w:autoSpaceDE/>
        <w:autoSpaceDN/>
        <w:bidi w:val="0"/>
        <w:adjustRightInd/>
        <w:snapToGrid/>
        <w:spacing w:line="300" w:lineRule="auto"/>
        <w:ind w:firstLine="640" w:firstLineChars="200"/>
        <w:textAlignment w:val="auto"/>
        <w:rPr>
          <w:rFonts w:hint="default" w:ascii="Times New Roman" w:hAnsi="Times New Roman" w:eastAsia="仿宋_GB2312" w:cs="Times New Roman"/>
          <w:bCs w:val="0"/>
          <w:color w:val="auto"/>
          <w:sz w:val="32"/>
          <w:szCs w:val="32"/>
        </w:rPr>
      </w:pPr>
      <w:r>
        <w:rPr>
          <w:rFonts w:hint="default" w:ascii="Times New Roman" w:hAnsi="Times New Roman" w:eastAsia="仿宋_GB2312" w:cs="Times New Roman"/>
          <w:bCs w:val="0"/>
          <w:color w:val="auto"/>
          <w:sz w:val="32"/>
          <w:szCs w:val="32"/>
        </w:rPr>
        <w:t>为实施广州市从化区</w:t>
      </w:r>
      <w:r>
        <w:rPr>
          <w:rFonts w:hint="eastAsia" w:ascii="Times New Roman" w:hAnsi="Times New Roman" w:cs="Times New Roman"/>
          <w:bCs w:val="0"/>
          <w:color w:val="auto"/>
          <w:sz w:val="32"/>
          <w:szCs w:val="32"/>
          <w:lang w:val="en-US" w:eastAsia="zh-CN"/>
        </w:rPr>
        <w:t>鳌头镇</w:t>
      </w:r>
      <w:r>
        <w:rPr>
          <w:rFonts w:hint="default" w:ascii="Times New Roman" w:hAnsi="Times New Roman" w:eastAsia="仿宋_GB2312" w:cs="Times New Roman"/>
          <w:bCs w:val="0"/>
          <w:color w:val="auto"/>
          <w:sz w:val="32"/>
          <w:szCs w:val="32"/>
        </w:rPr>
        <w:t>规划建设，完善城市功能，改善城市环境，促进经济、文化发展，广州市</w:t>
      </w:r>
      <w:r>
        <w:rPr>
          <w:rFonts w:hint="default" w:ascii="Times New Roman" w:hAnsi="Times New Roman" w:eastAsia="仿宋_GB2312" w:cs="Times New Roman"/>
          <w:bCs w:val="0"/>
          <w:color w:val="auto"/>
          <w:sz w:val="32"/>
          <w:szCs w:val="32"/>
          <w:lang w:eastAsia="zh-CN"/>
        </w:rPr>
        <w:t>从化</w:t>
      </w:r>
      <w:r>
        <w:rPr>
          <w:rFonts w:hint="default" w:ascii="Times New Roman" w:hAnsi="Times New Roman" w:eastAsia="仿宋_GB2312" w:cs="Times New Roman"/>
          <w:bCs w:val="0"/>
          <w:color w:val="auto"/>
          <w:sz w:val="32"/>
          <w:szCs w:val="32"/>
        </w:rPr>
        <w:t>区人民政府拟征收</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横坑村横二股份合作经济社、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横坑村横三股份合作经济社、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横坑村虎形股份合作经济社、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横坑村西山股份合作经济社、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横坑村横坑经济合作社</w:t>
      </w:r>
      <w:r>
        <w:rPr>
          <w:rFonts w:hint="default" w:ascii="Times New Roman" w:hAnsi="Times New Roman" w:eastAsia="仿宋_GB2312" w:cs="Times New Roman"/>
          <w:color w:val="auto"/>
          <w:sz w:val="32"/>
          <w:szCs w:val="32"/>
          <w:lang w:val="en-US" w:eastAsia="zh-CN"/>
        </w:rPr>
        <w:t>属下的集体土地</w:t>
      </w:r>
      <w:r>
        <w:rPr>
          <w:rFonts w:hint="eastAsia" w:ascii="Times New Roman" w:hAnsi="Times New Roman" w:cs="Times New Roman"/>
          <w:color w:val="auto"/>
          <w:sz w:val="32"/>
          <w:szCs w:val="32"/>
          <w:lang w:val="en-US" w:eastAsia="zh-CN"/>
        </w:rPr>
        <w:t>1.3941</w:t>
      </w:r>
      <w:r>
        <w:rPr>
          <w:rFonts w:hint="default" w:ascii="Times New Roman" w:hAnsi="Times New Roman" w:eastAsia="仿宋_GB2312" w:cs="Times New Roman"/>
          <w:bCs w:val="0"/>
          <w:color w:val="auto"/>
          <w:sz w:val="32"/>
          <w:szCs w:val="32"/>
        </w:rPr>
        <w:t>公顷</w:t>
      </w:r>
      <w:r>
        <w:rPr>
          <w:rFonts w:hint="default" w:ascii="Times New Roman" w:hAnsi="Times New Roman" w:eastAsia="仿宋_GB2312" w:cs="Times New Roman"/>
          <w:bCs w:val="0"/>
          <w:color w:val="auto"/>
          <w:sz w:val="32"/>
          <w:szCs w:val="32"/>
        </w:rPr>
        <w:t>。根据《中华人民共和国土地管理法》第二条、第四十五条、第四十七条，《中华人民共和国土地管理法实施条例》第二十七条、第二十八条</w:t>
      </w:r>
      <w:r>
        <w:rPr>
          <w:rFonts w:hint="eastAsia" w:ascii="Times New Roman" w:hAnsi="Times New Roman" w:cs="Times New Roman"/>
          <w:bCs w:val="0"/>
          <w:color w:val="auto"/>
          <w:sz w:val="32"/>
          <w:szCs w:val="32"/>
          <w:lang w:eastAsia="zh-CN"/>
        </w:rPr>
        <w:t>，</w:t>
      </w:r>
      <w:r>
        <w:rPr>
          <w:rFonts w:hint="eastAsia" w:ascii="Times New Roman" w:hAnsi="Times New Roman" w:cs="Times New Roman"/>
          <w:bCs w:val="0"/>
          <w:color w:val="auto"/>
          <w:sz w:val="32"/>
          <w:szCs w:val="32"/>
          <w:lang w:val="en-US" w:eastAsia="zh-CN"/>
        </w:rPr>
        <w:t>以及《广东省土地</w:t>
      </w:r>
      <w:bookmarkStart w:id="0" w:name="_GoBack"/>
      <w:bookmarkEnd w:id="0"/>
      <w:r>
        <w:rPr>
          <w:rFonts w:hint="eastAsia" w:ascii="Times New Roman" w:hAnsi="Times New Roman" w:cs="Times New Roman"/>
          <w:bCs w:val="0"/>
          <w:color w:val="auto"/>
          <w:sz w:val="32"/>
          <w:szCs w:val="32"/>
          <w:lang w:val="en-US" w:eastAsia="zh-CN"/>
        </w:rPr>
        <w:t>管理条例》第三十条</w:t>
      </w:r>
      <w:r>
        <w:rPr>
          <w:rFonts w:hint="eastAsia" w:ascii="Times New Roman" w:hAnsi="Times New Roman" w:cs="Times New Roman"/>
          <w:bCs w:val="0"/>
          <w:color w:val="auto"/>
          <w:sz w:val="32"/>
          <w:szCs w:val="32"/>
          <w:lang w:eastAsia="zh-CN"/>
        </w:rPr>
        <w:t>等规定</w:t>
      </w:r>
      <w:r>
        <w:rPr>
          <w:rFonts w:hint="default" w:ascii="Times New Roman" w:hAnsi="Times New Roman" w:eastAsia="仿宋_GB2312" w:cs="Times New Roman"/>
          <w:bCs w:val="0"/>
          <w:color w:val="auto"/>
          <w:sz w:val="32"/>
          <w:szCs w:val="32"/>
        </w:rPr>
        <w:t>，结合</w:t>
      </w:r>
      <w:r>
        <w:rPr>
          <w:rFonts w:hint="eastAsia" w:ascii="Times New Roman" w:hAnsi="Times New Roman" w:cs="Times New Roman"/>
          <w:bCs w:val="0"/>
          <w:color w:val="auto"/>
          <w:sz w:val="32"/>
          <w:szCs w:val="32"/>
          <w:lang w:eastAsia="zh-CN"/>
        </w:rPr>
        <w:t>从化</w:t>
      </w:r>
      <w:r>
        <w:rPr>
          <w:rFonts w:hint="default" w:ascii="Times New Roman" w:hAnsi="Times New Roman" w:eastAsia="仿宋_GB2312" w:cs="Times New Roman"/>
          <w:bCs w:val="0"/>
          <w:color w:val="auto"/>
          <w:sz w:val="32"/>
          <w:szCs w:val="32"/>
        </w:rPr>
        <w:t>区的征收农用地区片综合地价和实际情况，拟定了征地补偿安置方案，具体如下：</w:t>
      </w:r>
    </w:p>
    <w:p w14:paraId="2A9B1E13">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一、征收范围</w:t>
      </w:r>
    </w:p>
    <w:p w14:paraId="56805A39">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拟征收</w:t>
      </w:r>
      <w:r>
        <w:rPr>
          <w:rFonts w:hint="eastAsia" w:ascii="Times New Roman" w:hAnsi="Times New Roman" w:cs="Times New Roman"/>
          <w:color w:val="auto"/>
          <w:sz w:val="32"/>
          <w:szCs w:val="32"/>
          <w:lang w:val="en-US" w:eastAsia="zh-CN"/>
        </w:rPr>
        <w:t>土地位于</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横坑村横二股份合作经济社、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横坑村横三股份合作经济社、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横坑村虎形股份合作经济社、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横坑村西山股份合作经济社、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横坑村横坑经济合作社</w:t>
      </w:r>
      <w:r>
        <w:rPr>
          <w:rFonts w:hint="default" w:ascii="Times New Roman" w:hAnsi="Times New Roman" w:eastAsia="仿宋_GB2312" w:cs="Times New Roman"/>
          <w:color w:val="auto"/>
          <w:sz w:val="32"/>
          <w:szCs w:val="32"/>
          <w:lang w:val="en-US" w:eastAsia="zh-CN"/>
        </w:rPr>
        <w:t>范围内，具体位置详见附图。</w:t>
      </w:r>
    </w:p>
    <w:p w14:paraId="5AEFACEF">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实际征收土地范围以最终批准文件为准。</w:t>
      </w:r>
    </w:p>
    <w:p w14:paraId="3021116A">
      <w:pPr>
        <w:numPr>
          <w:ilvl w:val="0"/>
          <w:numId w:val="1"/>
        </w:numPr>
        <w:spacing w:line="540" w:lineRule="exact"/>
        <w:ind w:firstLine="640" w:firstLineChars="200"/>
        <w:outlineLvl w:val="9"/>
        <w:rPr>
          <w:rFonts w:hint="eastAsia"/>
          <w:color w:val="auto"/>
          <w:lang w:val="en-US" w:eastAsia="zh-CN"/>
        </w:rPr>
      </w:pPr>
      <w:r>
        <w:rPr>
          <w:rFonts w:hint="eastAsia" w:ascii="黑体" w:hAnsi="黑体" w:eastAsia="黑体" w:cs="黑体"/>
          <w:color w:val="auto"/>
          <w:sz w:val="32"/>
          <w:szCs w:val="32"/>
          <w:lang w:val="en-US" w:eastAsia="zh-CN"/>
        </w:rPr>
        <w:t>征收目的</w:t>
      </w:r>
    </w:p>
    <w:p w14:paraId="0C825B59">
      <w:pPr>
        <w:ind w:firstLine="578"/>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根据《中华人民共和国土地管理法》第四十五条的规定，</w:t>
      </w:r>
    </w:p>
    <w:p w14:paraId="7D9C74B1">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本次征收土地的目的为由政府组织实施的教育等公共事业需要用地。</w:t>
      </w:r>
    </w:p>
    <w:p w14:paraId="1DF11363">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三、土地现状</w:t>
      </w:r>
    </w:p>
    <w:p w14:paraId="1473C8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rPr>
        <w:t>根据拟征收土地现状调查</w:t>
      </w:r>
      <w:r>
        <w:rPr>
          <w:rFonts w:hint="eastAsia" w:ascii="Times New Roman" w:hAnsi="Times New Roman" w:eastAsia="仿宋_GB2312" w:cs="Times New Roman"/>
          <w:color w:val="auto"/>
          <w:sz w:val="32"/>
          <w:szCs w:val="32"/>
          <w:lang w:val="en-US" w:eastAsia="zh-CN"/>
        </w:rPr>
        <w:t>结果</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拟征收</w:t>
      </w:r>
      <w:r>
        <w:rPr>
          <w:rFonts w:hint="eastAsia" w:ascii="Times New Roman" w:hAnsi="Times New Roman" w:cs="Times New Roman"/>
          <w:color w:val="auto"/>
          <w:sz w:val="32"/>
          <w:szCs w:val="32"/>
          <w:lang w:val="en-US" w:eastAsia="zh-CN"/>
        </w:rPr>
        <w:t>土地现状为：</w:t>
      </w:r>
    </w:p>
    <w:p w14:paraId="45B1395F">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Times New Roman" w:hAnsi="Times New Roman" w:eastAsia="仿宋_GB2312" w:cs="Times New Roman"/>
          <w:color w:val="auto"/>
          <w:sz w:val="32"/>
          <w:szCs w:val="32"/>
          <w:lang w:val="en-US" w:eastAsia="zh-CN"/>
        </w:rPr>
        <w:t>拟征收</w:t>
      </w:r>
      <w:r>
        <w:rPr>
          <w:rFonts w:hint="default" w:ascii="Times New Roman" w:hAnsi="Times New Roman" w:eastAsia="仿宋_GB2312" w:cs="Times New Roman"/>
          <w:color w:val="auto"/>
          <w:sz w:val="32"/>
          <w:szCs w:val="32"/>
          <w:lang w:val="en-US" w:eastAsia="zh-CN"/>
        </w:rPr>
        <w:t>广州市从化区鳌头镇鳌头镇</w:t>
      </w:r>
      <w:r>
        <w:rPr>
          <w:rFonts w:hint="eastAsia" w:ascii="Times New Roman" w:hAnsi="Times New Roman" w:eastAsia="仿宋_GB2312" w:cs="Times New Roman"/>
          <w:color w:val="auto"/>
          <w:sz w:val="32"/>
          <w:szCs w:val="32"/>
          <w:lang w:val="en-US" w:eastAsia="zh-CN"/>
        </w:rPr>
        <w:t>横坑村横二股份合作经济社、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横坑村横三股份合作经济社、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横坑村虎形股份合作经济社、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横坑村西山股份合作经济社、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eastAsia="仿宋_GB2312" w:cs="Times New Roman"/>
          <w:color w:val="auto"/>
          <w:sz w:val="32"/>
          <w:szCs w:val="32"/>
          <w:lang w:val="en-US" w:eastAsia="zh-CN"/>
        </w:rPr>
        <w:t>横坑村横坑经济合作社集体所有土地共</w:t>
      </w:r>
      <w:r>
        <w:rPr>
          <w:rFonts w:hint="eastAsia" w:ascii="Times New Roman" w:hAnsi="Times New Roman" w:cs="Times New Roman"/>
          <w:color w:val="auto"/>
          <w:sz w:val="32"/>
          <w:szCs w:val="32"/>
          <w:lang w:val="en-US" w:eastAsia="zh-CN"/>
        </w:rPr>
        <w:t>1.3941</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20.9115</w:t>
      </w:r>
      <w:r>
        <w:rPr>
          <w:rFonts w:hint="eastAsia" w:ascii="Times New Roman" w:hAnsi="Times New Roman" w:eastAsia="仿宋_GB2312" w:cs="Times New Roman"/>
          <w:color w:val="auto"/>
          <w:sz w:val="32"/>
          <w:szCs w:val="32"/>
          <w:lang w:val="en-US" w:eastAsia="zh-CN"/>
        </w:rPr>
        <w:t>亩）。其中农用地</w:t>
      </w:r>
      <w:r>
        <w:rPr>
          <w:rFonts w:hint="eastAsia" w:ascii="Times New Roman" w:hAnsi="Times New Roman" w:cs="Times New Roman"/>
          <w:color w:val="auto"/>
          <w:sz w:val="32"/>
          <w:szCs w:val="32"/>
          <w:lang w:val="en-US" w:eastAsia="zh-CN"/>
        </w:rPr>
        <w:t>1.3565</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20.3475</w:t>
      </w:r>
      <w:r>
        <w:rPr>
          <w:rFonts w:hint="eastAsia" w:ascii="Times New Roman" w:hAnsi="Times New Roman" w:eastAsia="仿宋_GB2312" w:cs="Times New Roman"/>
          <w:color w:val="auto"/>
          <w:sz w:val="32"/>
          <w:szCs w:val="32"/>
          <w:lang w:val="en-US" w:eastAsia="zh-CN"/>
        </w:rPr>
        <w:t>亩），含林地</w:t>
      </w:r>
      <w:r>
        <w:rPr>
          <w:rFonts w:hint="eastAsia" w:ascii="Times New Roman" w:hAnsi="Times New Roman" w:cs="Times New Roman"/>
          <w:color w:val="auto"/>
          <w:sz w:val="32"/>
          <w:szCs w:val="32"/>
          <w:lang w:val="en-US" w:eastAsia="zh-CN"/>
        </w:rPr>
        <w:t>0.1889</w:t>
      </w:r>
      <w:r>
        <w:rPr>
          <w:rFonts w:hint="eastAsia" w:ascii="Times New Roman" w:hAnsi="Times New Roman" w:eastAsia="仿宋_GB2312" w:cs="Times New Roman"/>
          <w:color w:val="auto"/>
          <w:sz w:val="32"/>
          <w:szCs w:val="32"/>
          <w:lang w:val="en-US" w:eastAsia="zh-CN"/>
        </w:rPr>
        <w:t>公顷（2.8335亩）、草地0.</w:t>
      </w:r>
      <w:r>
        <w:rPr>
          <w:rFonts w:hint="eastAsia" w:ascii="Times New Roman" w:hAnsi="Times New Roman" w:cs="Times New Roman"/>
          <w:color w:val="auto"/>
          <w:sz w:val="32"/>
          <w:szCs w:val="32"/>
          <w:lang w:val="en-US" w:eastAsia="zh-CN"/>
        </w:rPr>
        <w:t>4358</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6.537</w:t>
      </w:r>
      <w:r>
        <w:rPr>
          <w:rFonts w:hint="eastAsia" w:ascii="Times New Roman" w:hAnsi="Times New Roman" w:eastAsia="仿宋_GB2312" w:cs="Times New Roman"/>
          <w:color w:val="auto"/>
          <w:sz w:val="32"/>
          <w:szCs w:val="32"/>
          <w:lang w:val="en-US" w:eastAsia="zh-CN"/>
        </w:rPr>
        <w:t>亩）、耕地0.4860公顷（7.29亩）、园地0.2359公顷（3.5385亩）、其他农用地0.0099公顷（</w:t>
      </w:r>
      <w:r>
        <w:rPr>
          <w:rFonts w:hint="eastAsia" w:ascii="Times New Roman" w:hAnsi="Times New Roman" w:cs="Times New Roman"/>
          <w:color w:val="auto"/>
          <w:sz w:val="32"/>
          <w:szCs w:val="32"/>
          <w:lang w:val="en-US" w:eastAsia="zh-CN"/>
        </w:rPr>
        <w:t>0.1485</w:t>
      </w:r>
      <w:r>
        <w:rPr>
          <w:rFonts w:hint="eastAsia" w:ascii="Times New Roman" w:hAnsi="Times New Roman" w:eastAsia="仿宋_GB2312" w:cs="Times New Roman"/>
          <w:color w:val="auto"/>
          <w:sz w:val="32"/>
          <w:szCs w:val="32"/>
          <w:lang w:val="en-US" w:eastAsia="zh-CN"/>
        </w:rPr>
        <w:t>亩）；未利用地0.0376公顷（</w:t>
      </w:r>
      <w:r>
        <w:rPr>
          <w:rFonts w:hint="eastAsia" w:ascii="Times New Roman" w:hAnsi="Times New Roman" w:cs="Times New Roman"/>
          <w:color w:val="auto"/>
          <w:sz w:val="32"/>
          <w:szCs w:val="32"/>
          <w:lang w:val="en-US" w:eastAsia="zh-CN"/>
        </w:rPr>
        <w:t>0.564</w:t>
      </w:r>
      <w:r>
        <w:rPr>
          <w:rFonts w:hint="eastAsia" w:ascii="Times New Roman" w:hAnsi="Times New Roman" w:eastAsia="仿宋_GB2312" w:cs="Times New Roman"/>
          <w:color w:val="auto"/>
          <w:sz w:val="32"/>
          <w:szCs w:val="32"/>
          <w:lang w:val="en-US" w:eastAsia="zh-CN"/>
        </w:rPr>
        <w:t>亩）；不涉及建设用地</w:t>
      </w:r>
      <w:r>
        <w:rPr>
          <w:rFonts w:hint="default" w:ascii="Times New Roman" w:hAnsi="Times New Roman" w:eastAsia="仿宋_GB2312" w:cs="Times New Roman"/>
          <w:color w:val="auto"/>
          <w:sz w:val="32"/>
          <w:szCs w:val="32"/>
          <w:lang w:val="en-US" w:eastAsia="zh-CN"/>
        </w:rPr>
        <w:t>。</w:t>
      </w:r>
    </w:p>
    <w:p w14:paraId="35E8E2A4">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四、补偿方式和标准</w:t>
      </w:r>
    </w:p>
    <w:p w14:paraId="1CC8E8BB">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（一）土地补偿费和安置补助费标准。</w:t>
      </w:r>
    </w:p>
    <w:p w14:paraId="6AAD5872">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根据广州市人民政府《关于公布实施征收农用地区片综合地价的公告》的规定，土地补偿标准为62.85万元/公顷，安置</w:t>
      </w:r>
      <w:r>
        <w:rPr>
          <w:rFonts w:hint="eastAsia" w:ascii="Times New Roman" w:hAnsi="Times New Roman" w:cs="Times New Roman"/>
          <w:color w:val="auto"/>
          <w:sz w:val="32"/>
          <w:szCs w:val="32"/>
          <w:lang w:val="en-US" w:eastAsia="zh-CN"/>
        </w:rPr>
        <w:t>补助</w:t>
      </w:r>
      <w:r>
        <w:rPr>
          <w:rFonts w:hint="default" w:ascii="Times New Roman" w:hAnsi="Times New Roman" w:eastAsia="仿宋_GB2312" w:cs="Times New Roman"/>
          <w:color w:val="auto"/>
          <w:sz w:val="32"/>
          <w:szCs w:val="32"/>
          <w:lang w:val="en-US" w:eastAsia="zh-CN"/>
        </w:rPr>
        <w:t>标准为73.65万元/公顷。</w:t>
      </w:r>
    </w:p>
    <w:p w14:paraId="2C41FA7F">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（二）农民村民住宅补偿</w:t>
      </w:r>
    </w:p>
    <w:p w14:paraId="4FAF1D4B">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本次征地不涉及农民村民住宅补偿。</w:t>
      </w:r>
    </w:p>
    <w:p w14:paraId="7C856B68">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（三）青苗及其他地上附着物补偿</w:t>
      </w:r>
    </w:p>
    <w:p w14:paraId="0043CE8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1F497D"/>
          <w:sz w:val="32"/>
          <w:szCs w:val="32"/>
          <w:lang w:val="en-US" w:eastAsia="zh-CN"/>
        </w:rPr>
      </w:pPr>
      <w:r>
        <w:rPr>
          <w:rFonts w:hint="default" w:ascii="仿宋_GB2312" w:hAnsi="仿宋_GB2312" w:eastAsia="仿宋_GB2312" w:cs="仿宋_GB2312"/>
          <w:b w:val="0"/>
          <w:bCs w:val="0"/>
          <w:color w:val="auto"/>
          <w:kern w:val="2"/>
          <w:sz w:val="32"/>
          <w:szCs w:val="32"/>
          <w:lang w:val="en-US" w:eastAsia="zh-CN" w:bidi="ar-SA"/>
        </w:rPr>
        <w:t>青苗和其他地上附着物补偿费用按照</w:t>
      </w:r>
      <w:r>
        <w:rPr>
          <w:rFonts w:hint="default" w:ascii="仿宋_GB2312" w:hAnsi="仿宋_GB2312" w:eastAsia="仿宋_GB2312" w:cs="仿宋_GB2312"/>
          <w:b w:val="0"/>
          <w:bCs w:val="0"/>
          <w:kern w:val="2"/>
          <w:sz w:val="32"/>
          <w:szCs w:val="32"/>
          <w:lang w:val="en-US" w:eastAsia="zh-CN" w:bidi="ar-SA"/>
        </w:rPr>
        <w:t>从化区有关规定执行</w:t>
      </w:r>
      <w:r>
        <w:rPr>
          <w:rFonts w:hint="eastAsia" w:ascii="仿宋_GB2312" w:hAnsi="仿宋_GB2312" w:eastAsia="仿宋_GB2312" w:cs="仿宋_GB2312"/>
          <w:b w:val="0"/>
          <w:bCs w:val="0"/>
          <w:kern w:val="2"/>
          <w:sz w:val="32"/>
          <w:szCs w:val="32"/>
          <w:lang w:val="en-US" w:eastAsia="zh-CN" w:bidi="ar-SA"/>
        </w:rPr>
        <w:t>。</w:t>
      </w:r>
    </w:p>
    <w:p w14:paraId="4E7F7914">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五、安置对象</w:t>
      </w:r>
    </w:p>
    <w:p w14:paraId="7A226E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lang w:val="en-US" w:eastAsia="zh-CN"/>
        </w:rPr>
      </w:pPr>
      <w:r>
        <w:rPr>
          <w:rFonts w:hint="eastAsia" w:ascii="仿宋_GB2312" w:hAnsi="仿宋_GB2312" w:eastAsia="仿宋_GB2312" w:cs="仿宋_GB2312"/>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9DA854E">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六、安置方式和社会保障</w:t>
      </w:r>
    </w:p>
    <w:p w14:paraId="3FA24731">
      <w:pPr>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（一）货币安置。所需费用已包含在土地补偿安置费中。</w:t>
      </w:r>
    </w:p>
    <w:p w14:paraId="1843C8A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（二）留用地安置。</w:t>
      </w:r>
      <w:r>
        <w:rPr>
          <w:rFonts w:hint="eastAsia" w:ascii="仿宋_GB2312" w:hAnsi="仿宋_GB2312" w:eastAsia="仿宋_GB2312" w:cs="仿宋_GB2312"/>
          <w:sz w:val="32"/>
          <w:szCs w:val="32"/>
          <w:highlight w:val="none"/>
          <w:lang w:val="en-US" w:eastAsia="zh-CN"/>
        </w:rPr>
        <w:t>根据《广东省人民政府办公厅关于加强征收农村集体土地留用地安置管理工作的意见》（粤府办〔2016〕30号）</w:t>
      </w:r>
      <w:r>
        <w:rPr>
          <w:rFonts w:hint="eastAsia"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val="en-US" w:eastAsia="zh-CN"/>
        </w:rPr>
        <w:t>相关规定，按实际征收土地面积的10%安排留用地，留用地兑现方式为</w:t>
      </w:r>
      <w:r>
        <w:rPr>
          <w:rFonts w:hint="eastAsia" w:ascii="仿宋_GB2312" w:hAnsi="仿宋_GB2312" w:eastAsia="仿宋_GB2312" w:cs="仿宋_GB2312"/>
          <w:sz w:val="32"/>
          <w:szCs w:val="32"/>
          <w:highlight w:val="none"/>
          <w:lang w:val="en-US" w:eastAsia="zh-CN"/>
        </w:rPr>
        <w:t>实地留地</w:t>
      </w:r>
      <w:r>
        <w:rPr>
          <w:rFonts w:hint="eastAsia" w:ascii="仿宋_GB2312" w:hAnsi="仿宋_GB2312" w:eastAsia="仿宋_GB2312" w:cs="仿宋_GB2312"/>
          <w:color w:val="auto"/>
          <w:sz w:val="32"/>
          <w:szCs w:val="32"/>
          <w:highlight w:val="none"/>
          <w:lang w:val="en-US" w:eastAsia="zh-CN"/>
        </w:rPr>
        <w:t>。</w:t>
      </w:r>
    </w:p>
    <w:p w14:paraId="3101062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（三）社会保障费用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根据《广东省人民政府办公厅转发省人力资源社会保障厅关于进一步完善我省被征地农民养老保障政策意见的通知》（粤府办〔2021〕22号）规定，核定该项</w:t>
      </w:r>
      <w:r>
        <w:rPr>
          <w:rFonts w:hint="eastAsia" w:ascii="仿宋_GB2312" w:hAnsi="仿宋_GB2312" w:eastAsia="仿宋_GB2312" w:cs="仿宋_GB2312"/>
          <w:color w:val="auto"/>
          <w:sz w:val="32"/>
          <w:szCs w:val="32"/>
          <w:highlight w:val="none"/>
          <w:lang w:val="en-US" w:eastAsia="zh-CN"/>
        </w:rPr>
        <w:t>目按我区平均每亩征收农用地区片综合地价9.74万元的18%</w:t>
      </w:r>
      <w:r>
        <w:rPr>
          <w:rFonts w:hint="eastAsia" w:cs="仿宋_GB2312"/>
          <w:color w:val="auto"/>
          <w:sz w:val="32"/>
          <w:szCs w:val="32"/>
          <w:highlight w:val="none"/>
          <w:lang w:val="en-US" w:eastAsia="zh-CN"/>
        </w:rPr>
        <w:t>比例计提</w:t>
      </w:r>
      <w:r>
        <w:rPr>
          <w:rFonts w:hint="eastAsia" w:ascii="仿宋_GB2312" w:hAnsi="仿宋_GB2312" w:eastAsia="仿宋_GB2312" w:cs="仿宋_GB2312"/>
          <w:color w:val="auto"/>
          <w:sz w:val="32"/>
          <w:szCs w:val="32"/>
          <w:highlight w:val="none"/>
          <w:lang w:val="en-US" w:eastAsia="zh-CN"/>
        </w:rPr>
        <w:t>一次性</w:t>
      </w:r>
      <w:r>
        <w:rPr>
          <w:rFonts w:hint="eastAsia"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en-US" w:eastAsia="zh-CN"/>
        </w:rPr>
        <w:t>集体被征地农民养老保障资金存入“收缴被征地农民养老保障资金过渡户”，费用合计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36.83</w:t>
      </w:r>
      <w:r>
        <w:rPr>
          <w:rFonts w:hint="eastAsia" w:ascii="仿宋_GB2312" w:hAnsi="仿宋_GB2312" w:eastAsia="仿宋_GB2312" w:cs="仿宋_GB2312"/>
          <w:color w:val="auto"/>
          <w:sz w:val="32"/>
          <w:szCs w:val="32"/>
          <w:highlight w:val="none"/>
          <w:lang w:val="en-US" w:eastAsia="zh-CN"/>
        </w:rPr>
        <w:t>万元，专款用于被征地农民缴纳养老保险费用。征地批准文件批复的实际范围</w:t>
      </w:r>
      <w:r>
        <w:rPr>
          <w:rFonts w:hint="eastAsia" w:ascii="仿宋_GB2312" w:hAnsi="仿宋_GB2312" w:eastAsia="仿宋_GB2312" w:cs="仿宋_GB2312"/>
          <w:sz w:val="32"/>
          <w:szCs w:val="32"/>
          <w:highlight w:val="none"/>
          <w:lang w:val="en-US" w:eastAsia="zh-CN"/>
        </w:rPr>
        <w:t>有变化的，</w:t>
      </w:r>
      <w:r>
        <w:rPr>
          <w:rFonts w:hint="eastAsia" w:ascii="Times New Roman" w:hAnsi="Times New Roman" w:eastAsia="仿宋_GB2312" w:cs="Times New Roman"/>
          <w:b w:val="0"/>
          <w:bCs/>
          <w:snapToGrid/>
          <w:color w:val="auto"/>
          <w:spacing w:val="0"/>
          <w:kern w:val="2"/>
          <w:sz w:val="32"/>
          <w:szCs w:val="32"/>
          <w:highlight w:val="none"/>
          <w:lang w:val="en-US" w:eastAsia="zh-CN"/>
        </w:rPr>
        <w:t>费用将做相应调整</w:t>
      </w:r>
      <w:r>
        <w:rPr>
          <w:rFonts w:hint="eastAsia" w:ascii="仿宋_GB2312" w:hAnsi="仿宋_GB2312" w:eastAsia="仿宋_GB2312" w:cs="仿宋_GB2312"/>
          <w:color w:val="auto"/>
          <w:sz w:val="32"/>
          <w:szCs w:val="32"/>
          <w:highlight w:val="none"/>
        </w:rPr>
        <w:t>。</w:t>
      </w:r>
    </w:p>
    <w:p w14:paraId="620EB46E">
      <w:pPr>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32"/>
          <w:szCs w:val="32"/>
          <w:highlight w:val="none"/>
        </w:rPr>
      </w:pPr>
    </w:p>
    <w:p w14:paraId="06B9B147">
      <w:pPr>
        <w:pageBreakBefore w:val="0"/>
        <w:kinsoku/>
        <w:wordWrap/>
        <w:overflowPunct/>
        <w:topLinePunct w:val="0"/>
        <w:autoSpaceDE/>
        <w:autoSpaceDN/>
        <w:bidi w:val="0"/>
        <w:adjustRightInd/>
        <w:spacing w:line="560" w:lineRule="exact"/>
        <w:jc w:val="right"/>
        <w:textAlignment w:val="auto"/>
        <w:rPr>
          <w:rFonts w:hint="eastAsia" w:cs="仿宋_GB2312"/>
          <w:sz w:val="32"/>
          <w:szCs w:val="32"/>
          <w:highlight w:val="none"/>
          <w:lang w:val="en-US" w:eastAsia="zh-CN"/>
        </w:rPr>
      </w:pPr>
    </w:p>
    <w:p w14:paraId="31457130">
      <w:pPr>
        <w:pageBreakBefore w:val="0"/>
        <w:kinsoku/>
        <w:wordWrap/>
        <w:overflowPunct/>
        <w:topLinePunct w:val="0"/>
        <w:autoSpaceDE/>
        <w:autoSpaceDN/>
        <w:bidi w:val="0"/>
        <w:adjustRightInd/>
        <w:spacing w:line="560" w:lineRule="exact"/>
        <w:jc w:val="center"/>
        <w:textAlignment w:val="auto"/>
        <w:rPr>
          <w:rFonts w:hint="eastAsia" w:cs="仿宋_GB2312"/>
          <w:sz w:val="32"/>
          <w:szCs w:val="32"/>
          <w:highlight w:val="none"/>
          <w:lang w:eastAsia="zh-CN"/>
        </w:rPr>
      </w:pPr>
      <w:r>
        <w:rPr>
          <w:rFonts w:hint="eastAsia"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广州市</w:t>
      </w:r>
      <w:r>
        <w:rPr>
          <w:rFonts w:hint="eastAsia" w:cs="仿宋_GB2312"/>
          <w:sz w:val="32"/>
          <w:szCs w:val="32"/>
          <w:highlight w:val="none"/>
          <w:lang w:val="en-US" w:eastAsia="zh-CN"/>
        </w:rPr>
        <w:t>从化</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eastAsia="zh-CN"/>
        </w:rPr>
        <w:t>人民政府</w:t>
      </w:r>
    </w:p>
    <w:p w14:paraId="7771C633">
      <w:pPr>
        <w:pageBreakBefore w:val="0"/>
        <w:kinsoku/>
        <w:wordWrap/>
        <w:overflowPunct/>
        <w:topLinePunct w:val="0"/>
        <w:autoSpaceDE/>
        <w:autoSpaceDN/>
        <w:bidi w:val="0"/>
        <w:adjustRightInd/>
        <w:spacing w:line="560" w:lineRule="exact"/>
        <w:ind w:firstLine="3520" w:firstLineChars="1100"/>
        <w:jc w:val="center"/>
        <w:textAlignment w:val="auto"/>
        <w:rPr>
          <w:rFonts w:hint="default" w:ascii="Times New Roman" w:hAnsi="Times New Roman" w:cs="Times New Roman"/>
          <w:highlight w:val="none"/>
          <w:lang w:val="en-US" w:eastAsia="zh-CN"/>
        </w:rPr>
      </w:pPr>
      <w:r>
        <w:rPr>
          <w:rFonts w:hint="eastAsia" w:cs="仿宋_GB2312"/>
          <w:sz w:val="32"/>
          <w:szCs w:val="32"/>
          <w:highlight w:val="none"/>
          <w:lang w:val="en-US" w:eastAsia="zh-CN"/>
        </w:rPr>
        <w:t>2024</w:t>
      </w:r>
      <w:r>
        <w:rPr>
          <w:rFonts w:hint="eastAsia" w:ascii="仿宋_GB2312" w:hAnsi="仿宋_GB2312" w:eastAsia="仿宋_GB2312" w:cs="仿宋_GB2312"/>
          <w:sz w:val="32"/>
          <w:szCs w:val="32"/>
          <w:highlight w:val="none"/>
        </w:rPr>
        <w:t>年</w:t>
      </w:r>
      <w:r>
        <w:rPr>
          <w:rFonts w:hint="eastAsia"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cs="仿宋_GB2312"/>
          <w:sz w:val="32"/>
          <w:szCs w:val="32"/>
          <w:highlight w:val="none"/>
          <w:lang w:val="en-US" w:eastAsia="zh-CN"/>
        </w:rPr>
        <w:t>1</w:t>
      </w:r>
      <w:r>
        <w:rPr>
          <w:rFonts w:hint="eastAsia" w:ascii="仿宋_GB2312" w:hAnsi="仿宋_GB2312" w:eastAsia="仿宋_GB2312" w:cs="仿宋_GB2312"/>
          <w:sz w:val="32"/>
          <w:szCs w:val="32"/>
          <w:highlight w:val="none"/>
        </w:rPr>
        <w:t>日</w:t>
      </w:r>
    </w:p>
    <w:p w14:paraId="421A7755">
      <w:r>
        <w:rPr>
          <w:rFonts w:ascii="Times New Roman" w:hAnsi="Times New Roman"/>
          <w:color w:val="auto"/>
          <w:sz w:val="32"/>
          <w:szCs w:val="32"/>
        </w:rPr>
        <mc:AlternateContent>
          <mc:Choice Requires="wps">
            <w:drawing>
              <wp:anchor distT="0" distB="0" distL="114300" distR="114300" simplePos="0" relativeHeight="251659264" behindDoc="0" locked="0" layoutInCell="1" allowOverlap="1">
                <wp:simplePos x="0" y="0"/>
                <wp:positionH relativeFrom="margin">
                  <wp:posOffset>1524000</wp:posOffset>
                </wp:positionH>
                <wp:positionV relativeFrom="paragraph">
                  <wp:posOffset>4851400</wp:posOffset>
                </wp:positionV>
                <wp:extent cx="949960" cy="23050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14:paraId="1271F57B">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120pt;margin-top:382pt;height:18.15pt;width:74.8pt;mso-position-horizontal-relative:margin;z-index:251659264;mso-width-relative:page;mso-height-relative:page;" filled="f" stroked="f" coordsize="21600,21600" o:gfxdata="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3fNYC2gAAAAsBAAAPAAAAAAAAAAEAIAAAACIAAABkcnMv&#10;ZG93bnJldi54bWxQSwECFAAUAAAACACHTuJA937Tk8gBAACKAwAADgAAAAAAAAABACAAAAApAQAA&#10;ZHJzL2Uyb0RvYy54bWxQSwUGAAAAAAYABgBZAQAAYwUAAAAA&#10;">
                <v:fill on="f" focussize="0,0"/>
                <v:stroke on="f"/>
                <v:imagedata o:title=""/>
                <o:lock v:ext="edit" aspectratio="f"/>
                <v:textbox inset="0mm,0mm,0mm,0mm">
                  <w:txbxContent>
                    <w:p w14:paraId="1271F57B">
                      <w:pPr>
                        <w:snapToGrid w:val="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margin">
                  <wp:posOffset>-642620</wp:posOffset>
                </wp:positionH>
                <wp:positionV relativeFrom="paragraph">
                  <wp:posOffset>5185410</wp:posOffset>
                </wp:positionV>
                <wp:extent cx="949960" cy="2305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14:paraId="72F21881">
                            <w:pPr>
                              <w:snapToGrid w:val="0"/>
                              <w:ind w:firstLine="280" w:firstLineChars="10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50.6pt;margin-top:408.3pt;height:18.15pt;width:74.8pt;mso-position-horizontal-relative:margin;z-index:251660288;mso-width-relative:page;mso-height-relative:page;" filled="f" stroked="f" coordsize="21600,21600" o:gfxdata="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G7XV2gAAAAsBAAAPAAAAAAAAAAEAIAAAACIAAABkcnMv&#10;ZG93bnJldi54bWxQSwECFAAUAAAACACHTuJAb0O+lsgBAACKAwAADgAAAAAAAAABACAAAAApAQAA&#10;ZHJzL2Uyb0RvYy54bWxQSwUGAAAAAAYABgBZAQAAYwUAAAAA&#10;">
                <v:fill on="f" focussize="0,0"/>
                <v:stroke on="f"/>
                <v:imagedata o:title=""/>
                <o:lock v:ext="edit" aspectratio="f"/>
                <v:textbox inset="0mm,0mm,0mm,0mm">
                  <w:txbxContent>
                    <w:p w14:paraId="72F21881">
                      <w:pPr>
                        <w:snapToGrid w:val="0"/>
                        <w:ind w:firstLine="280" w:firstLineChars="10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6482715</wp:posOffset>
                </wp:positionV>
                <wp:extent cx="949960" cy="23050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14:paraId="19753C41">
                            <w:pPr>
                              <w:snapToGrid w:val="0"/>
                              <w:ind w:firstLine="280" w:firstLineChars="10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0pt;margin-top:510.45pt;height:18.15pt;width:74.8pt;mso-position-horizontal-relative:margin;z-index:251661312;mso-width-relative:page;mso-height-relative:page;" filled="f" stroked="f" coordsize="21600,21600" o:gfxdata="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6goC7XAAAACgEAAA8AAAAAAAAAAQAgAAAAIgAAAGRycy9kb3du&#10;cmV2LnhtbFBLAQIUABQAAAAIAIdO4kB8gkfhxwEAAIoDAAAOAAAAAAAAAAEAIAAAACYBAABkcnMv&#10;ZTJvRG9jLnhtbFBLBQYAAAAABgAGAFkBAABfBQAAAAA=&#10;">
                <v:fill on="f" focussize="0,0"/>
                <v:stroke on="f"/>
                <v:imagedata o:title=""/>
                <o:lock v:ext="edit" aspectratio="f"/>
                <v:textbox inset="0mm,0mm,0mm,0mm">
                  <w:txbxContent>
                    <w:p w14:paraId="19753C41">
                      <w:pPr>
                        <w:snapToGrid w:val="0"/>
                        <w:ind w:firstLine="280" w:firstLineChars="10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662336" behindDoc="0" locked="0" layoutInCell="1" allowOverlap="1">
                <wp:simplePos x="0" y="0"/>
                <wp:positionH relativeFrom="margin">
                  <wp:posOffset>417195</wp:posOffset>
                </wp:positionH>
                <wp:positionV relativeFrom="paragraph">
                  <wp:posOffset>6089650</wp:posOffset>
                </wp:positionV>
                <wp:extent cx="949960" cy="23050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14:paraId="1B7AC839">
                            <w:pPr>
                              <w:snapToGrid w:val="0"/>
                              <w:ind w:firstLine="280" w:firstLineChars="10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2.85pt;margin-top:479.5pt;height:18.15pt;width:74.8pt;mso-position-horizontal-relative:margin;z-index:251662336;mso-width-relative:page;mso-height-relative:page;" filled="f" stroked="f" coordsize="21600,21600" o:gfxdata="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gxBu2AAAAAoBAAAPAAAAAAAAAAEAIAAAACIAAABkcnMvZG93&#10;bnJldi54bWxQSwECFAAUAAAACACHTuJABwoFVscBAACKAwAADgAAAAAAAAABACAAAAAnAQAAZHJz&#10;L2Uyb0RvYy54bWxQSwUGAAAAAAYABgBZAQAAYAUAAAAA&#10;">
                <v:fill on="f" focussize="0,0"/>
                <v:stroke on="f"/>
                <v:imagedata o:title=""/>
                <o:lock v:ext="edit" aspectratio="f"/>
                <v:textbox inset="0mm,0mm,0mm,0mm">
                  <w:txbxContent>
                    <w:p w14:paraId="1B7AC839">
                      <w:pPr>
                        <w:snapToGrid w:val="0"/>
                        <w:ind w:firstLine="280" w:firstLineChars="100"/>
                        <w:rPr>
                          <w:rFonts w:hint="eastAsia" w:ascii="宋体" w:hAnsi="宋体" w:cs="宋体"/>
                          <w:sz w:val="28"/>
                          <w:szCs w:val="28"/>
                        </w:rPr>
                      </w:pP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663360" behindDoc="0" locked="0" layoutInCell="1" allowOverlap="1">
                <wp:simplePos x="0" y="0"/>
                <wp:positionH relativeFrom="margin">
                  <wp:posOffset>83185</wp:posOffset>
                </wp:positionH>
                <wp:positionV relativeFrom="paragraph">
                  <wp:posOffset>6447155</wp:posOffset>
                </wp:positionV>
                <wp:extent cx="949960" cy="23050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14:paraId="16F619FE">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6.55pt;margin-top:507.65pt;height:18.15pt;width:74.8pt;mso-position-horizontal-relative:margin;z-index:251663360;mso-width-relative:page;mso-height-relative:page;" filled="f" stroked="f" coordsize="21600,21600" o:gfxdata="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ueOsdkAAAAMAQAADwAAAAAAAAABACAAAAAiAAAAZHJzL2Rv&#10;d25yZXYueG1sUEsBAhQAFAAAAAgAh07iQCghnObHAQAAigMAAA4AAAAAAAAAAQAgAAAAKAEAAGRy&#10;cy9lMm9Eb2MueG1sUEsFBgAAAAAGAAYAWQEAAGEFAAAAAA==&#10;">
                <v:fill on="f" focussize="0,0"/>
                <v:stroke on="f"/>
                <v:imagedata o:title=""/>
                <o:lock v:ext="edit" aspectratio="f"/>
                <v:textbox inset="0mm,0mm,0mm,0mm">
                  <w:txbxContent>
                    <w:p w14:paraId="16F619FE">
                      <w:pPr>
                        <w:snapToGrid w:val="0"/>
                        <w:rPr>
                          <w:rFonts w:hint="eastAsia" w:ascii="宋体" w:hAnsi="宋体" w:eastAsia="宋体" w:cs="宋体"/>
                          <w:sz w:val="28"/>
                          <w:szCs w:val="28"/>
                          <w:lang w:eastAsia="zh-CN"/>
                        </w:rPr>
                      </w:pPr>
                    </w:p>
                  </w:txbxContent>
                </v:textbox>
              </v:shape>
            </w:pict>
          </mc:Fallback>
        </mc:AlternateContent>
      </w:r>
    </w:p>
    <w:sectPr>
      <w:headerReference r:id="rId3" w:type="default"/>
      <w:footerReference r:id="rId4" w:type="default"/>
      <w:footerReference r:id="rId5" w:type="even"/>
      <w:pgSz w:w="11906" w:h="16838"/>
      <w:pgMar w:top="1440" w:right="1633" w:bottom="1440" w:left="1633" w:header="851" w:footer="1587" w:gutter="0"/>
      <w:pgBorders>
        <w:top w:val="none" w:sz="0" w:space="0"/>
        <w:left w:val="none" w:sz="0" w:space="0"/>
        <w:bottom w:val="none" w:sz="0" w:space="0"/>
        <w:right w:val="none" w:sz="0" w:space="0"/>
      </w:pgBorders>
      <w:pgNumType w:fmt="decimal"/>
      <w:cols w:space="720" w:num="1"/>
      <w:titlePg/>
      <w:rtlGutter w:val="0"/>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0187">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0FB897">
                          <w:pPr>
                            <w:pStyle w:val="3"/>
                            <w:ind w:firstLine="420" w:firstLineChars="150"/>
                            <w:rPr>
                              <w:rStyle w:val="7"/>
                              <w:rFonts w:hint="eastAsia" w:ascii="宋体" w:hAnsi="宋体" w:eastAsia="宋体"/>
                              <w:bCs/>
                              <w:sz w:val="28"/>
                              <w:szCs w:val="28"/>
                            </w:rPr>
                          </w:pPr>
                          <w:r>
                            <w:rPr>
                              <w:rStyle w:val="7"/>
                              <w:rFonts w:hint="eastAsia" w:ascii="宋体" w:hAnsi="宋体" w:eastAsia="宋体"/>
                              <w:bCs/>
                              <w:sz w:val="28"/>
                              <w:szCs w:val="28"/>
                            </w:rPr>
                            <w:t xml:space="preserve">— </w:t>
                          </w:r>
                          <w:r>
                            <w:rPr>
                              <w:rFonts w:ascii="宋体" w:hAnsi="宋体" w:eastAsia="宋体"/>
                              <w:sz w:val="28"/>
                              <w:szCs w:val="28"/>
                            </w:rPr>
                            <w:fldChar w:fldCharType="begin"/>
                          </w:r>
                          <w:r>
                            <w:rPr>
                              <w:rStyle w:val="7"/>
                              <w:rFonts w:ascii="宋体" w:hAnsi="宋体" w:eastAsia="宋体"/>
                              <w:bCs/>
                              <w:sz w:val="28"/>
                              <w:szCs w:val="28"/>
                            </w:rPr>
                            <w:instrText xml:space="preserve">PAGE  </w:instrText>
                          </w:r>
                          <w:r>
                            <w:rPr>
                              <w:rFonts w:ascii="宋体" w:hAnsi="宋体" w:eastAsia="宋体"/>
                              <w:sz w:val="28"/>
                              <w:szCs w:val="28"/>
                            </w:rPr>
                            <w:fldChar w:fldCharType="separate"/>
                          </w:r>
                          <w:r>
                            <w:rPr>
                              <w:rStyle w:val="7"/>
                              <w:rFonts w:ascii="宋体" w:hAnsi="宋体" w:eastAsia="宋体"/>
                              <w:bCs/>
                              <w:sz w:val="28"/>
                              <w:szCs w:val="28"/>
                            </w:rPr>
                            <w:t>2</w:t>
                          </w:r>
                          <w:r>
                            <w:rPr>
                              <w:rFonts w:ascii="宋体" w:hAnsi="宋体" w:eastAsia="宋体"/>
                              <w:sz w:val="28"/>
                              <w:szCs w:val="28"/>
                            </w:rPr>
                            <w:fldChar w:fldCharType="end"/>
                          </w:r>
                          <w:r>
                            <w:rPr>
                              <w:rStyle w:val="7"/>
                              <w:rFonts w:hint="eastAsia" w:ascii="宋体" w:hAnsi="宋体" w:eastAsia="宋体"/>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14:paraId="6D0FB897">
                    <w:pPr>
                      <w:pStyle w:val="3"/>
                      <w:ind w:firstLine="420" w:firstLineChars="150"/>
                      <w:rPr>
                        <w:rStyle w:val="7"/>
                        <w:rFonts w:hint="eastAsia" w:ascii="宋体" w:hAnsi="宋体" w:eastAsia="宋体"/>
                        <w:bCs/>
                        <w:sz w:val="28"/>
                        <w:szCs w:val="28"/>
                      </w:rPr>
                    </w:pPr>
                    <w:r>
                      <w:rPr>
                        <w:rStyle w:val="7"/>
                        <w:rFonts w:hint="eastAsia" w:ascii="宋体" w:hAnsi="宋体" w:eastAsia="宋体"/>
                        <w:bCs/>
                        <w:sz w:val="28"/>
                        <w:szCs w:val="28"/>
                      </w:rPr>
                      <w:t xml:space="preserve">— </w:t>
                    </w:r>
                    <w:r>
                      <w:rPr>
                        <w:rFonts w:ascii="宋体" w:hAnsi="宋体" w:eastAsia="宋体"/>
                        <w:sz w:val="28"/>
                        <w:szCs w:val="28"/>
                      </w:rPr>
                      <w:fldChar w:fldCharType="begin"/>
                    </w:r>
                    <w:r>
                      <w:rPr>
                        <w:rStyle w:val="7"/>
                        <w:rFonts w:ascii="宋体" w:hAnsi="宋体" w:eastAsia="宋体"/>
                        <w:bCs/>
                        <w:sz w:val="28"/>
                        <w:szCs w:val="28"/>
                      </w:rPr>
                      <w:instrText xml:space="preserve">PAGE  </w:instrText>
                    </w:r>
                    <w:r>
                      <w:rPr>
                        <w:rFonts w:ascii="宋体" w:hAnsi="宋体" w:eastAsia="宋体"/>
                        <w:sz w:val="28"/>
                        <w:szCs w:val="28"/>
                      </w:rPr>
                      <w:fldChar w:fldCharType="separate"/>
                    </w:r>
                    <w:r>
                      <w:rPr>
                        <w:rStyle w:val="7"/>
                        <w:rFonts w:ascii="宋体" w:hAnsi="宋体" w:eastAsia="宋体"/>
                        <w:bCs/>
                        <w:sz w:val="28"/>
                        <w:szCs w:val="28"/>
                      </w:rPr>
                      <w:t>2</w:t>
                    </w:r>
                    <w:r>
                      <w:rPr>
                        <w:rFonts w:ascii="宋体" w:hAnsi="宋体" w:eastAsia="宋体"/>
                        <w:sz w:val="28"/>
                        <w:szCs w:val="28"/>
                      </w:rPr>
                      <w:fldChar w:fldCharType="end"/>
                    </w:r>
                    <w:r>
                      <w:rPr>
                        <w:rStyle w:val="7"/>
                        <w:rFonts w:hint="eastAsia" w:ascii="宋体" w:hAnsi="宋体" w:eastAsia="宋体"/>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BCAB">
    <w:pPr>
      <w:pStyle w:val="3"/>
      <w:framePr w:wrap="around" w:vAnchor="text" w:hAnchor="margin" w:y="1"/>
      <w:rPr>
        <w:rStyle w:val="7"/>
        <w:bCs/>
      </w:rPr>
    </w:pPr>
    <w:r>
      <w:fldChar w:fldCharType="begin"/>
    </w:r>
    <w:r>
      <w:rPr>
        <w:rStyle w:val="7"/>
        <w:bCs/>
      </w:rPr>
      <w:instrText xml:space="preserve">PAGE  </w:instrText>
    </w:r>
    <w:r>
      <w:fldChar w:fldCharType="end"/>
    </w:r>
  </w:p>
  <w:p w14:paraId="401C8267">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43BE">
    <w:pPr>
      <w:pStyle w:val="4"/>
      <w:pBdr>
        <w:left w:val="none" w:color="auto" w:sz="0" w:space="2"/>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A817F"/>
    <w:multiLevelType w:val="singleLevel"/>
    <w:tmpl w:val="597A817F"/>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547AC"/>
    <w:rsid w:val="04CC5402"/>
    <w:rsid w:val="18F36B4F"/>
    <w:rsid w:val="1CB06237"/>
    <w:rsid w:val="2AB34C47"/>
    <w:rsid w:val="2D9F1571"/>
    <w:rsid w:val="39911305"/>
    <w:rsid w:val="43316E32"/>
    <w:rsid w:val="53C809D6"/>
    <w:rsid w:val="61E763CF"/>
    <w:rsid w:val="671711FF"/>
    <w:rsid w:val="6DDF0A37"/>
    <w:rsid w:val="77B5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bCs/>
      <w:color w:val="000000"/>
      <w:kern w:val="2"/>
      <w:sz w:val="32"/>
      <w:szCs w:val="32"/>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 w:type="paragraph" w:customStyle="1" w:styleId="8">
    <w:name w:val="Char Char Char Char Char Char1 Char"/>
    <w:basedOn w:val="1"/>
    <w:qFormat/>
    <w:uiPriority w:val="0"/>
    <w:pPr>
      <w:widowControl/>
      <w:spacing w:after="160" w:line="240" w:lineRule="exact"/>
      <w:jc w:val="left"/>
    </w:pPr>
    <w:rPr>
      <w:rFonts w:ascii="仿宋_GB2312" w:hAnsi="仿宋_GB2312" w:eastAsia="仿宋_GB2312" w:cs="仿宋_GB2312"/>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从化区国规局</Company>
  <Pages>3</Pages>
  <Words>1792</Words>
  <Characters>2044</Characters>
  <Lines>0</Lines>
  <Paragraphs>0</Paragraphs>
  <TotalTime>3</TotalTime>
  <ScaleCrop>false</ScaleCrop>
  <LinksUpToDate>false</LinksUpToDate>
  <CharactersWithSpaces>2067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2023-07-13T07:26:00Z</dcterms:created>
  <dc:creator>NTKO</dc:creator>
  <cp:lastModifiedBy>admin</cp:lastModifiedBy>
  <dcterms:modified xsi:type="dcterms:W3CDTF">2025-10-20T09:20:28Z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55357DA31FDC427CAFE1C63555F53EEC</vt:lpwstr>
  </property>
  <property fmtid="{D5CDD505-2E9C-101B-9397-08002B2CF9AE}" pid="4" name="KSOTemplateDocerSaveRecord">
    <vt:lpwstr>eyJoZGlkIjoiMjVkZDU0OTJhYThmNDRmMTI1YmQxNzU3OWEzZmM5MmQiLCJ1c2VySWQiOiIzMzA4Mzg1NTIifQ==</vt:lpwstr>
  </property>
</Properties>
</file>