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9639B3">
      <w:pPr>
        <w:pStyle w:val="2"/>
        <w:numPr>
          <w:ilvl w:val="3"/>
          <w:numId w:val="0"/>
        </w:numPr>
        <w:ind w:left="1260" w:leftChars="0"/>
        <w:rPr>
          <w:rFonts w:hint="eastAsia"/>
          <w:color w:val="auto"/>
          <w:lang w:val="en-US" w:eastAsia="zh-CN"/>
        </w:rPr>
      </w:pPr>
    </w:p>
    <w:p w14:paraId="6D063A16">
      <w:pPr>
        <w:spacing w:line="56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val="en-US" w:eastAsia="zh-CN"/>
        </w:rPr>
        <w:t>采矿权出让</w:t>
      </w:r>
      <w:r>
        <w:rPr>
          <w:rFonts w:hint="eastAsia" w:ascii="方正小标宋简体" w:hAnsi="方正小标宋简体" w:eastAsia="方正小标宋简体" w:cs="方正小标宋简体"/>
          <w:color w:val="auto"/>
          <w:sz w:val="44"/>
          <w:szCs w:val="44"/>
          <w:lang w:eastAsia="zh-CN"/>
        </w:rPr>
        <w:t>投入产出</w:t>
      </w:r>
      <w:r>
        <w:rPr>
          <w:rFonts w:hint="eastAsia" w:ascii="方正小标宋简体" w:hAnsi="方正小标宋简体" w:eastAsia="方正小标宋简体" w:cs="方正小标宋简体"/>
          <w:color w:val="auto"/>
          <w:sz w:val="44"/>
          <w:szCs w:val="44"/>
        </w:rPr>
        <w:t>监管协议</w:t>
      </w:r>
    </w:p>
    <w:p w14:paraId="58246714">
      <w:pPr>
        <w:rPr>
          <w:rFonts w:hint="eastAsia" w:ascii="仿宋_GB2312" w:hAnsi="仿宋_GB2312" w:eastAsia="仿宋_GB2312" w:cs="仿宋_GB2312"/>
          <w:color w:val="auto"/>
          <w:sz w:val="32"/>
        </w:rPr>
      </w:pPr>
    </w:p>
    <w:p w14:paraId="40BA7017">
      <w:pPr>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rPr>
        <w:t>甲方</w:t>
      </w:r>
      <w:r>
        <w:rPr>
          <w:rFonts w:hint="eastAsia" w:ascii="仿宋_GB2312" w:hAnsi="仿宋_GB2312" w:eastAsia="仿宋_GB2312" w:cs="仿宋_GB2312"/>
          <w:color w:val="auto"/>
          <w:sz w:val="32"/>
          <w:u w:val="single"/>
        </w:rPr>
        <w:t>：</w:t>
      </w:r>
      <w:r>
        <w:rPr>
          <w:rFonts w:hint="eastAsia" w:ascii="仿宋_GB2312" w:hAnsi="仿宋_GB2312" w:eastAsia="仿宋_GB2312" w:cs="仿宋_GB2312"/>
          <w:color w:val="auto"/>
          <w:sz w:val="32"/>
          <w:u w:val="single"/>
          <w:lang w:val="en-US" w:eastAsia="zh-CN"/>
        </w:rPr>
        <w:t xml:space="preserve">     广州花都经济开发区管理委员会       </w:t>
      </w:r>
      <w:r>
        <w:rPr>
          <w:rFonts w:hint="eastAsia" w:ascii="仿宋_GB2312" w:hAnsi="仿宋_GB2312" w:eastAsia="仿宋_GB2312" w:cs="仿宋_GB2312"/>
          <w:color w:val="auto"/>
          <w:sz w:val="32"/>
          <w:u w:val="none"/>
          <w:lang w:val="en-US" w:eastAsia="zh-CN"/>
        </w:rPr>
        <w:t xml:space="preserve">       </w:t>
      </w:r>
      <w:r>
        <w:rPr>
          <w:rFonts w:hint="eastAsia" w:ascii="仿宋_GB2312" w:hAnsi="仿宋_GB2312" w:eastAsia="仿宋_GB2312" w:cs="仿宋_GB2312"/>
          <w:color w:val="auto"/>
          <w:sz w:val="32"/>
          <w:u w:val="single"/>
        </w:rPr>
        <w:t xml:space="preserve">      </w:t>
      </w:r>
    </w:p>
    <w:p w14:paraId="4DD7BC2E">
      <w:pPr>
        <w:rPr>
          <w:rFonts w:hint="eastAsia" w:ascii="仿宋_GB2312" w:hAnsi="仿宋_GB2312" w:eastAsia="仿宋_GB2312" w:cs="仿宋_GB2312"/>
          <w:color w:val="auto"/>
          <w:sz w:val="32"/>
          <w:u w:val="single"/>
        </w:rPr>
      </w:pPr>
      <w:r>
        <w:rPr>
          <w:rFonts w:hint="eastAsia" w:ascii="仿宋_GB2312" w:hAnsi="仿宋_GB2312" w:eastAsia="仿宋_GB2312" w:cs="仿宋_GB2312"/>
          <w:color w:val="auto"/>
          <w:sz w:val="32"/>
        </w:rPr>
        <w:t>乙方</w:t>
      </w:r>
      <w:r>
        <w:rPr>
          <w:rFonts w:hint="eastAsia" w:ascii="仿宋_GB2312" w:hAnsi="仿宋_GB2312" w:eastAsia="仿宋_GB2312" w:cs="仿宋_GB2312"/>
          <w:color w:val="auto"/>
          <w:sz w:val="32"/>
          <w:u w:val="single"/>
        </w:rPr>
        <w:t xml:space="preserve">：                                        </w:t>
      </w:r>
    </w:p>
    <w:p w14:paraId="153E2C57">
      <w:pPr>
        <w:pStyle w:val="2"/>
        <w:numPr>
          <w:ilvl w:val="3"/>
          <w:numId w:val="0"/>
        </w:numPr>
        <w:rPr>
          <w:rFonts w:hint="eastAsia"/>
        </w:rPr>
      </w:pPr>
    </w:p>
    <w:p w14:paraId="7D987A2B">
      <w:pPr>
        <w:rPr>
          <w:rFonts w:ascii="仿宋_GB2312" w:hAnsi="仿宋_GB2312" w:eastAsia="仿宋_GB2312" w:cs="仿宋_GB2312"/>
          <w:color w:val="auto"/>
          <w:sz w:val="32"/>
        </w:rPr>
      </w:pPr>
      <w:r>
        <w:rPr>
          <w:rFonts w:hint="eastAsia" w:ascii="仿宋_GB2312" w:hAnsi="仿宋_GB2312" w:eastAsia="仿宋_GB2312" w:cs="仿宋_GB2312"/>
          <w:color w:val="auto"/>
          <w:sz w:val="32"/>
        </w:rPr>
        <w:t xml:space="preserve">    </w:t>
      </w:r>
      <w:r>
        <w:rPr>
          <w:rFonts w:hint="eastAsia" w:ascii="仿宋" w:hAnsi="仿宋" w:eastAsia="仿宋" w:cs="Times New Roman"/>
          <w:sz w:val="32"/>
          <w:szCs w:val="32"/>
          <w:highlight w:val="none"/>
        </w:rPr>
        <w:t>为全面提高资源利用效率，实现矿业开发高质量发展，打通建筑石料上下游</w:t>
      </w:r>
      <w:r>
        <w:rPr>
          <w:rFonts w:hint="eastAsia" w:ascii="仿宋" w:hAnsi="仿宋" w:eastAsia="仿宋" w:cs="Times New Roman"/>
          <w:sz w:val="32"/>
          <w:szCs w:val="32"/>
          <w:highlight w:val="none"/>
          <w:lang w:eastAsia="zh-CN"/>
        </w:rPr>
        <w:t>产业</w:t>
      </w:r>
      <w:r>
        <w:rPr>
          <w:rFonts w:hint="eastAsia" w:ascii="仿宋" w:hAnsi="仿宋" w:eastAsia="仿宋" w:cs="Times New Roman"/>
          <w:sz w:val="32"/>
          <w:szCs w:val="32"/>
          <w:highlight w:val="none"/>
        </w:rPr>
        <w:t>，实现机制砂全链条产业链发展</w:t>
      </w:r>
      <w:r>
        <w:rPr>
          <w:rFonts w:hint="eastAsia" w:ascii="仿宋" w:hAnsi="仿宋" w:eastAsia="仿宋" w:cs="Times New Roman"/>
          <w:sz w:val="32"/>
          <w:szCs w:val="32"/>
          <w:highlight w:val="none"/>
          <w:lang w:eastAsia="zh-CN"/>
        </w:rPr>
        <w:t>，</w:t>
      </w:r>
      <w:r>
        <w:rPr>
          <w:rFonts w:hint="eastAsia" w:ascii="仿宋" w:hAnsi="仿宋" w:eastAsia="仿宋" w:cs="Times New Roman"/>
          <w:sz w:val="32"/>
          <w:szCs w:val="32"/>
          <w:highlight w:val="none"/>
        </w:rPr>
        <w:t>结合花都区委、区政府</w:t>
      </w:r>
      <w:bookmarkStart w:id="0" w:name="_GoBack"/>
      <w:bookmarkEnd w:id="0"/>
      <w:r>
        <w:rPr>
          <w:rFonts w:hint="eastAsia" w:ascii="仿宋" w:hAnsi="仿宋" w:eastAsia="仿宋" w:cs="Times New Roman"/>
          <w:sz w:val="32"/>
          <w:szCs w:val="32"/>
          <w:highlight w:val="none"/>
          <w:lang w:eastAsia="zh-CN"/>
        </w:rPr>
        <w:t>“十四五”规划</w:t>
      </w:r>
      <w:r>
        <w:rPr>
          <w:rFonts w:hint="eastAsia" w:ascii="仿宋" w:hAnsi="仿宋" w:eastAsia="仿宋" w:cs="Times New Roman"/>
          <w:sz w:val="32"/>
          <w:szCs w:val="32"/>
          <w:highlight w:val="none"/>
        </w:rPr>
        <w:t>战略部署</w:t>
      </w:r>
      <w:r>
        <w:rPr>
          <w:rFonts w:hint="eastAsia" w:ascii="仿宋" w:hAnsi="仿宋" w:eastAsia="仿宋" w:cs="Times New Roman"/>
          <w:sz w:val="32"/>
          <w:szCs w:val="32"/>
          <w:highlight w:val="none"/>
          <w:lang w:val="en-US" w:eastAsia="zh-CN"/>
        </w:rPr>
        <w:t>以及乙方所竞得</w:t>
      </w:r>
      <w:r>
        <w:rPr>
          <w:rFonts w:hint="eastAsia" w:ascii="仿宋" w:hAnsi="仿宋" w:eastAsia="仿宋" w:cs="Times New Roman"/>
          <w:sz w:val="32"/>
          <w:szCs w:val="32"/>
          <w:highlight w:val="none"/>
        </w:rPr>
        <w:t>采矿权矿区的实际，</w:t>
      </w:r>
      <w:r>
        <w:rPr>
          <w:rFonts w:hint="eastAsia" w:ascii="仿宋_GB2312" w:hAnsi="仿宋_GB2312" w:eastAsia="仿宋_GB2312" w:cs="仿宋_GB2312"/>
          <w:color w:val="auto"/>
          <w:sz w:val="32"/>
        </w:rPr>
        <w:t>甲乙双方订立</w:t>
      </w:r>
      <w:r>
        <w:rPr>
          <w:rFonts w:hint="eastAsia" w:ascii="仿宋_GB2312" w:hAnsi="仿宋_GB2312" w:eastAsia="仿宋_GB2312" w:cs="仿宋_GB2312"/>
          <w:color w:val="auto"/>
          <w:sz w:val="32"/>
          <w:lang w:eastAsia="zh-CN"/>
        </w:rPr>
        <w:t>本</w:t>
      </w:r>
      <w:r>
        <w:rPr>
          <w:rFonts w:hint="eastAsia" w:ascii="仿宋_GB2312" w:hAnsi="仿宋_GB2312" w:eastAsia="仿宋_GB2312" w:cs="仿宋_GB2312"/>
          <w:color w:val="auto"/>
          <w:sz w:val="32"/>
        </w:rPr>
        <w:t>协议。</w:t>
      </w:r>
    </w:p>
    <w:p w14:paraId="3D477C2A">
      <w:pPr>
        <w:ind w:firstLine="643" w:firstLineChars="200"/>
        <w:rPr>
          <w:rFonts w:ascii="黑体" w:hAnsi="黑体" w:eastAsia="黑体" w:cs="Times New Roman"/>
          <w:b/>
          <w:sz w:val="32"/>
          <w:szCs w:val="32"/>
          <w:highlight w:val="none"/>
        </w:rPr>
      </w:pPr>
      <w:r>
        <w:rPr>
          <w:rFonts w:hint="eastAsia" w:ascii="黑体" w:hAnsi="黑体" w:eastAsia="黑体" w:cs="Times New Roman"/>
          <w:b/>
          <w:sz w:val="32"/>
          <w:szCs w:val="32"/>
          <w:highlight w:val="none"/>
        </w:rPr>
        <w:t>一、</w:t>
      </w:r>
      <w:r>
        <w:rPr>
          <w:rFonts w:hint="eastAsia" w:ascii="黑体" w:hAnsi="黑体" w:eastAsia="黑体" w:cs="Times New Roman"/>
          <w:b/>
          <w:sz w:val="32"/>
          <w:szCs w:val="32"/>
          <w:highlight w:val="none"/>
          <w:lang w:val="en-US" w:eastAsia="zh-CN"/>
        </w:rPr>
        <w:t>乙方竞得</w:t>
      </w:r>
      <w:r>
        <w:rPr>
          <w:rFonts w:hint="eastAsia" w:ascii="黑体" w:hAnsi="黑体" w:eastAsia="黑体" w:cs="Times New Roman"/>
          <w:b/>
          <w:sz w:val="32"/>
          <w:szCs w:val="32"/>
          <w:highlight w:val="none"/>
        </w:rPr>
        <w:t>采矿权基本情况</w:t>
      </w:r>
    </w:p>
    <w:p w14:paraId="1BC77A3A">
      <w:pPr>
        <w:ind w:firstLine="640" w:firstLineChars="200"/>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（一）矿区地理位置</w:t>
      </w:r>
    </w:p>
    <w:p w14:paraId="10F96825">
      <w:pPr>
        <w:ind w:firstLine="640" w:firstLineChars="2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广州市花都区花山镇城西石场建筑用花岗岩矿位于广东省广州市花都区城区</w:t>
      </w:r>
      <w:r>
        <w:rPr>
          <w:rFonts w:hint="eastAsia" w:eastAsia="仿宋" w:cs="Times New Roman"/>
          <w:sz w:val="32"/>
          <w:szCs w:val="32"/>
          <w:highlight w:val="none"/>
          <w:lang w:eastAsia="zh-CN"/>
        </w:rPr>
        <w:t>北偏东</w:t>
      </w:r>
      <w:r>
        <w:rPr>
          <w:rFonts w:hint="default" w:ascii="Times New Roman" w:hAnsi="Times New Roman" w:eastAsia="仿宋" w:cs="Times New Roman"/>
          <w:sz w:val="32"/>
          <w:szCs w:val="32"/>
          <w:highlight w:val="none"/>
        </w:rPr>
        <w:t>30°方向，直距约16.5km的丘陵区，属广州市花都区花山镇管辖。拟设采矿权面积0.9438km²，资源储量估算标高+</w:t>
      </w:r>
      <w:r>
        <w:rPr>
          <w:rFonts w:hint="eastAsia" w:eastAsia="仿宋" w:cs="Times New Roman"/>
          <w:sz w:val="32"/>
          <w:szCs w:val="32"/>
          <w:highlight w:val="none"/>
          <w:lang w:val="en-US" w:eastAsia="zh-CN"/>
        </w:rPr>
        <w:t>307</w:t>
      </w:r>
      <w:r>
        <w:rPr>
          <w:rFonts w:hint="default" w:ascii="Times New Roman" w:hAnsi="Times New Roman" w:eastAsia="仿宋" w:cs="Times New Roman"/>
          <w:sz w:val="32"/>
          <w:szCs w:val="32"/>
          <w:highlight w:val="none"/>
        </w:rPr>
        <w:t>.0~</w:t>
      </w:r>
      <w:r>
        <w:rPr>
          <w:rFonts w:hint="eastAsia" w:eastAsia="仿宋" w:cs="Times New Roman"/>
          <w:sz w:val="32"/>
          <w:szCs w:val="32"/>
          <w:highlight w:val="none"/>
          <w:lang w:val="en-US" w:eastAsia="zh-CN"/>
        </w:rPr>
        <w:t>+50</w:t>
      </w:r>
      <w:r>
        <w:rPr>
          <w:rFonts w:hint="default" w:ascii="Times New Roman" w:hAnsi="Times New Roman" w:eastAsia="仿宋" w:cs="Times New Roman"/>
          <w:sz w:val="32"/>
          <w:szCs w:val="32"/>
          <w:highlight w:val="none"/>
        </w:rPr>
        <w:t>.0m。矿区拐点坐标如下：</w:t>
      </w:r>
    </w:p>
    <w:tbl>
      <w:tblPr>
        <w:tblStyle w:val="9"/>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843"/>
        <w:gridCol w:w="3118"/>
        <w:gridCol w:w="1134"/>
        <w:gridCol w:w="993"/>
      </w:tblGrid>
      <w:tr w14:paraId="45F2A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1384" w:type="dxa"/>
            <w:vAlign w:val="center"/>
          </w:tcPr>
          <w:p w14:paraId="5ED0A867">
            <w:pPr>
              <w:spacing w:line="360" w:lineRule="auto"/>
              <w:ind w:firstLine="0" w:firstLineChars="0"/>
              <w:jc w:val="center"/>
              <w:rPr>
                <w:rFonts w:hint="eastAsia" w:ascii="Times New Roman" w:hAnsi="Times New Roman" w:eastAsia="宋体" w:cs="Times New Roman"/>
                <w:szCs w:val="21"/>
                <w:highlight w:val="none"/>
                <w:lang w:eastAsia="zh-CN"/>
              </w:rPr>
            </w:pPr>
            <w:r>
              <w:rPr>
                <w:rFonts w:hint="eastAsia" w:ascii="Times New Roman" w:hAnsi="Times New Roman" w:eastAsia="宋体" w:cs="Times New Roman"/>
                <w:szCs w:val="21"/>
                <w:highlight w:val="none"/>
                <w:lang w:eastAsia="zh-CN"/>
              </w:rPr>
              <w:t>拟设矿权</w:t>
            </w:r>
          </w:p>
        </w:tc>
        <w:tc>
          <w:tcPr>
            <w:tcW w:w="1843" w:type="dxa"/>
            <w:vAlign w:val="center"/>
          </w:tcPr>
          <w:p w14:paraId="13719883">
            <w:pPr>
              <w:spacing w:line="360" w:lineRule="auto"/>
              <w:ind w:firstLine="0" w:firstLineChars="0"/>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开采矿种</w:t>
            </w:r>
          </w:p>
        </w:tc>
        <w:tc>
          <w:tcPr>
            <w:tcW w:w="3118" w:type="dxa"/>
            <w:vAlign w:val="center"/>
          </w:tcPr>
          <w:p w14:paraId="6E50B476">
            <w:pPr>
              <w:spacing w:line="360" w:lineRule="auto"/>
              <w:ind w:firstLine="0" w:firstLineChars="0"/>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拐点坐标（国家2000）</w:t>
            </w:r>
          </w:p>
        </w:tc>
        <w:tc>
          <w:tcPr>
            <w:tcW w:w="1134" w:type="dxa"/>
            <w:vAlign w:val="center"/>
          </w:tcPr>
          <w:p w14:paraId="7A50F97C">
            <w:pPr>
              <w:spacing w:line="360" w:lineRule="auto"/>
              <w:ind w:firstLine="0" w:firstLineChars="0"/>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区块面积 （km</w:t>
            </w:r>
            <w:r>
              <w:rPr>
                <w:rFonts w:ascii="Times New Roman" w:hAnsi="Times New Roman" w:eastAsia="宋体" w:cs="Times New Roman"/>
                <w:szCs w:val="21"/>
                <w:highlight w:val="none"/>
                <w:vertAlign w:val="superscript"/>
              </w:rPr>
              <w:t>2</w:t>
            </w:r>
            <w:r>
              <w:rPr>
                <w:rFonts w:ascii="Times New Roman" w:hAnsi="Times New Roman" w:eastAsia="宋体" w:cs="Times New Roman"/>
                <w:szCs w:val="21"/>
                <w:highlight w:val="none"/>
              </w:rPr>
              <w:t>）</w:t>
            </w:r>
          </w:p>
        </w:tc>
        <w:tc>
          <w:tcPr>
            <w:tcW w:w="993" w:type="dxa"/>
            <w:vAlign w:val="center"/>
          </w:tcPr>
          <w:p w14:paraId="6C585D87">
            <w:pPr>
              <w:spacing w:line="360" w:lineRule="auto"/>
              <w:ind w:firstLine="0" w:firstLineChars="0"/>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设置</w:t>
            </w:r>
          </w:p>
          <w:p w14:paraId="4F94715C">
            <w:pPr>
              <w:spacing w:line="360" w:lineRule="auto"/>
              <w:ind w:firstLine="0" w:firstLineChars="0"/>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类型</w:t>
            </w:r>
          </w:p>
        </w:tc>
      </w:tr>
      <w:tr w14:paraId="48A04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3" w:hRule="atLeast"/>
        </w:trPr>
        <w:tc>
          <w:tcPr>
            <w:tcW w:w="1384" w:type="dxa"/>
            <w:vAlign w:val="center"/>
          </w:tcPr>
          <w:p w14:paraId="4C725F1B">
            <w:pPr>
              <w:spacing w:line="360" w:lineRule="auto"/>
              <w:ind w:firstLine="0" w:firstLineChars="0"/>
              <w:jc w:val="center"/>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广州市花都区花山镇城西石场建筑用花岗岩矿</w:t>
            </w:r>
          </w:p>
        </w:tc>
        <w:tc>
          <w:tcPr>
            <w:tcW w:w="1843" w:type="dxa"/>
            <w:vAlign w:val="center"/>
          </w:tcPr>
          <w:p w14:paraId="5ACD74CD">
            <w:pPr>
              <w:spacing w:line="360" w:lineRule="auto"/>
              <w:ind w:firstLine="0" w:firstLineChars="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建筑用花岗岩</w:t>
            </w:r>
          </w:p>
        </w:tc>
        <w:tc>
          <w:tcPr>
            <w:tcW w:w="3118" w:type="dxa"/>
            <w:vAlign w:val="center"/>
          </w:tcPr>
          <w:p w14:paraId="31161155">
            <w:pPr>
              <w:spacing w:line="360" w:lineRule="auto"/>
              <w:ind w:firstLine="0" w:firstLineChars="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1, 2603992.73, 38427273.10</w:t>
            </w:r>
            <w:r>
              <w:rPr>
                <w:rFonts w:hint="eastAsia" w:ascii="Times New Roman" w:hAnsi="Times New Roman" w:eastAsia="宋体" w:cs="Times New Roman"/>
                <w:kern w:val="0"/>
                <w:szCs w:val="21"/>
                <w:highlight w:val="none"/>
              </w:rPr>
              <w:t>；</w:t>
            </w:r>
          </w:p>
          <w:p w14:paraId="28F81B2E">
            <w:pPr>
              <w:spacing w:line="360" w:lineRule="auto"/>
              <w:ind w:firstLine="0" w:firstLineChars="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2, 2604099.61, 38427484.88</w:t>
            </w:r>
            <w:r>
              <w:rPr>
                <w:rFonts w:hint="eastAsia" w:ascii="Times New Roman" w:hAnsi="Times New Roman" w:eastAsia="宋体" w:cs="Times New Roman"/>
                <w:kern w:val="0"/>
                <w:szCs w:val="21"/>
                <w:highlight w:val="none"/>
              </w:rPr>
              <w:t>；</w:t>
            </w:r>
          </w:p>
          <w:p w14:paraId="55E5D24A">
            <w:pPr>
              <w:spacing w:line="360" w:lineRule="auto"/>
              <w:ind w:firstLine="0" w:firstLineChars="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3, 2603889.03, 38428736.77</w:t>
            </w:r>
            <w:r>
              <w:rPr>
                <w:rFonts w:hint="eastAsia" w:ascii="Times New Roman" w:hAnsi="Times New Roman" w:eastAsia="宋体" w:cs="Times New Roman"/>
                <w:kern w:val="0"/>
                <w:szCs w:val="21"/>
                <w:highlight w:val="none"/>
              </w:rPr>
              <w:t>；</w:t>
            </w:r>
          </w:p>
          <w:p w14:paraId="73816FE7">
            <w:pPr>
              <w:spacing w:line="360" w:lineRule="auto"/>
              <w:ind w:firstLine="0" w:firstLineChars="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4, 2603405.03, 38428936.34</w:t>
            </w:r>
            <w:r>
              <w:rPr>
                <w:rFonts w:hint="eastAsia" w:ascii="Times New Roman" w:hAnsi="Times New Roman" w:eastAsia="宋体" w:cs="Times New Roman"/>
                <w:kern w:val="0"/>
                <w:szCs w:val="21"/>
                <w:highlight w:val="none"/>
              </w:rPr>
              <w:t>；</w:t>
            </w:r>
          </w:p>
          <w:p w14:paraId="2003B233">
            <w:pPr>
              <w:spacing w:line="360" w:lineRule="auto"/>
              <w:ind w:firstLine="0" w:firstLineChars="0"/>
              <w:jc w:val="center"/>
              <w:rPr>
                <w:rFonts w:hint="default" w:ascii="Times New Roman" w:hAnsi="Times New Roman" w:eastAsia="宋体" w:cs="Times New Roman"/>
                <w:kern w:val="0"/>
                <w:szCs w:val="21"/>
                <w:highlight w:val="none"/>
                <w:lang w:val="en-US" w:eastAsia="zh-CN"/>
              </w:rPr>
            </w:pPr>
            <w:r>
              <w:rPr>
                <w:rFonts w:ascii="Times New Roman" w:hAnsi="Times New Roman" w:eastAsia="宋体" w:cs="Times New Roman"/>
                <w:kern w:val="0"/>
                <w:szCs w:val="21"/>
                <w:highlight w:val="none"/>
              </w:rPr>
              <w:t>5, 2603474.24, 38427002.26</w:t>
            </w:r>
            <w:r>
              <w:rPr>
                <w:rFonts w:hint="eastAsia" w:ascii="Times New Roman" w:hAnsi="Times New Roman" w:eastAsia="宋体" w:cs="Times New Roman"/>
                <w:kern w:val="0"/>
                <w:szCs w:val="21"/>
                <w:highlight w:val="none"/>
              </w:rPr>
              <w:t>。</w:t>
            </w:r>
          </w:p>
        </w:tc>
        <w:tc>
          <w:tcPr>
            <w:tcW w:w="1134" w:type="dxa"/>
            <w:vAlign w:val="center"/>
          </w:tcPr>
          <w:p w14:paraId="4C9AB2DD">
            <w:pPr>
              <w:spacing w:line="360" w:lineRule="auto"/>
              <w:ind w:right="84" w:rightChars="40" w:firstLine="0" w:firstLineChars="0"/>
              <w:jc w:val="center"/>
              <w:rPr>
                <w:rFonts w:ascii="Times New Roman" w:hAnsi="Times New Roman" w:eastAsia="宋体" w:cs="Times New Roman"/>
                <w:kern w:val="0"/>
                <w:szCs w:val="21"/>
                <w:highlight w:val="none"/>
              </w:rPr>
            </w:pPr>
            <w:r>
              <w:rPr>
                <w:rFonts w:hint="eastAsia" w:ascii="Times New Roman" w:hAnsi="Times New Roman" w:eastAsia="宋体" w:cs="Times New Roman"/>
                <w:kern w:val="0"/>
                <w:szCs w:val="21"/>
                <w:highlight w:val="none"/>
              </w:rPr>
              <w:t>0.94</w:t>
            </w:r>
          </w:p>
        </w:tc>
        <w:tc>
          <w:tcPr>
            <w:tcW w:w="993" w:type="dxa"/>
            <w:vAlign w:val="center"/>
          </w:tcPr>
          <w:p w14:paraId="25E5EF3C">
            <w:pPr>
              <w:spacing w:line="360" w:lineRule="auto"/>
              <w:ind w:firstLine="0" w:firstLineChars="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空白区新设</w:t>
            </w:r>
          </w:p>
        </w:tc>
      </w:tr>
    </w:tbl>
    <w:p w14:paraId="51620919">
      <w:pPr>
        <w:ind w:firstLine="640" w:firstLineChars="200"/>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（二）</w:t>
      </w:r>
      <w:r>
        <w:rPr>
          <w:rFonts w:hint="eastAsia" w:ascii="楷体_GB2312" w:hAnsi="楷体_GB2312" w:eastAsia="楷体_GB2312" w:cs="楷体_GB2312"/>
          <w:sz w:val="32"/>
          <w:szCs w:val="32"/>
          <w:highlight w:val="none"/>
          <w:lang w:val="en-US" w:eastAsia="zh-CN"/>
        </w:rPr>
        <w:t>竞得</w:t>
      </w:r>
      <w:r>
        <w:rPr>
          <w:rFonts w:hint="eastAsia" w:ascii="楷体_GB2312" w:hAnsi="楷体_GB2312" w:eastAsia="楷体_GB2312" w:cs="楷体_GB2312"/>
          <w:sz w:val="32"/>
          <w:szCs w:val="32"/>
          <w:highlight w:val="none"/>
        </w:rPr>
        <w:t>采矿权情况</w:t>
      </w:r>
    </w:p>
    <w:p w14:paraId="6A7E37BB">
      <w:pPr>
        <w:ind w:firstLine="640" w:firstLineChars="200"/>
        <w:rPr>
          <w:rFonts w:ascii="仿宋" w:hAnsi="仿宋" w:eastAsia="仿宋" w:cs="Times New Roman"/>
          <w:sz w:val="32"/>
          <w:szCs w:val="32"/>
          <w:highlight w:val="none"/>
        </w:rPr>
      </w:pPr>
      <w:r>
        <w:rPr>
          <w:rFonts w:hint="eastAsia" w:ascii="仿宋" w:hAnsi="仿宋" w:eastAsia="仿宋" w:cs="Times New Roman"/>
          <w:sz w:val="32"/>
          <w:szCs w:val="32"/>
          <w:highlight w:val="none"/>
        </w:rPr>
        <w:t>1、采矿权名称及出让人：广州市花都区花山镇城西石场建筑用花岗岩矿，出让人为</w:t>
      </w:r>
      <w:r>
        <w:rPr>
          <w:rFonts w:hint="eastAsia" w:ascii="仿宋" w:hAnsi="仿宋" w:eastAsia="仿宋" w:cs="Times New Roman"/>
          <w:sz w:val="32"/>
          <w:szCs w:val="32"/>
          <w:highlight w:val="none"/>
          <w:u w:val="none"/>
          <w:lang w:val="en-US" w:eastAsia="zh-CN"/>
        </w:rPr>
        <w:t>广州市规划和自然资源局</w:t>
      </w:r>
      <w:r>
        <w:rPr>
          <w:rFonts w:hint="eastAsia" w:ascii="仿宋" w:hAnsi="仿宋" w:eastAsia="仿宋" w:cs="Times New Roman"/>
          <w:sz w:val="32"/>
          <w:szCs w:val="32"/>
          <w:highlight w:val="none"/>
        </w:rPr>
        <w:t>。</w:t>
      </w:r>
    </w:p>
    <w:p w14:paraId="283D8510">
      <w:pPr>
        <w:ind w:firstLine="640" w:firstLineChars="200"/>
        <w:rPr>
          <w:rFonts w:hint="eastAsia" w:ascii="仿宋" w:hAnsi="仿宋" w:eastAsia="仿宋" w:cs="Times New Roman"/>
          <w:sz w:val="32"/>
          <w:szCs w:val="32"/>
          <w:highlight w:val="none"/>
        </w:rPr>
      </w:pPr>
      <w:r>
        <w:rPr>
          <w:rFonts w:hint="eastAsia" w:ascii="仿宋" w:hAnsi="仿宋" w:eastAsia="仿宋" w:cs="Times New Roman"/>
          <w:sz w:val="32"/>
          <w:szCs w:val="32"/>
          <w:highlight w:val="none"/>
        </w:rPr>
        <w:t>2、矿种及储量：矿种为建筑用花岗岩，依据《广东省广州市花都区城西石场建筑用花岗岩矿资源储核实报告》和《广东省广州市花都区城西石场建筑用花岗岩矿矿产资源开发利用方案》，矿区内控制资源量矿石量为4674.61万立方米，推断资源量矿石量2264.08万立方米，全区剥离体积约3015.12万立方米，剥采比为0.43∶1（m³/m³）。矿体情况、矿区地质条件和矿山资源开采设计详见中国建筑材料工业地质勘察中心广东总队提交的《广东省广州市花都区城西石场建筑用花岗岩矿资源储核实报告》和广东省冶金建筑设计研究院有限公司提交的《广东省广州市花都区城西石场建筑用花岗岩矿矿产资源开发利用方案》。</w:t>
      </w:r>
    </w:p>
    <w:p w14:paraId="0304FC53">
      <w:pPr>
        <w:spacing w:line="560" w:lineRule="exact"/>
        <w:ind w:firstLine="640" w:firstLineChars="200"/>
        <w:rPr>
          <w:rFonts w:hint="eastAsia" w:eastAsia="黑体"/>
          <w:lang w:val="en-US" w:eastAsia="zh-CN"/>
        </w:rPr>
      </w:pPr>
      <w:r>
        <w:rPr>
          <w:rFonts w:hint="eastAsia" w:ascii="仿宋" w:hAnsi="仿宋" w:eastAsia="仿宋" w:cs="Times New Roman"/>
          <w:sz w:val="32"/>
          <w:szCs w:val="32"/>
          <w:highlight w:val="none"/>
          <w:lang w:val="en-US" w:eastAsia="zh-CN"/>
        </w:rPr>
        <w:t>3、</w:t>
      </w:r>
      <w:r>
        <w:rPr>
          <w:rFonts w:hint="eastAsia" w:ascii="仿宋" w:hAnsi="仿宋" w:eastAsia="仿宋" w:cs="Times New Roman"/>
          <w:sz w:val="32"/>
          <w:szCs w:val="32"/>
          <w:highlight w:val="none"/>
        </w:rPr>
        <w:t>本次拟出让采矿权年限20年，已编制《广东省广州市花都区城西石场建筑用花岗岩矿矿产资源开发利用方案》，主要设计指标：设计开采规模为365万立方米/年，开采方式为露天开采，采矿权竞得人应按照开发利用方案组织生产。</w:t>
      </w:r>
    </w:p>
    <w:p w14:paraId="416DBB78">
      <w:pPr>
        <w:adjustRightInd w:val="0"/>
        <w:snapToGrid w:val="0"/>
        <w:spacing w:line="600" w:lineRule="atLeast"/>
        <w:ind w:right="-153" w:rightChars="-73" w:firstLine="643" w:firstLineChars="200"/>
        <w:rPr>
          <w:rFonts w:ascii="仿宋_GB2312" w:eastAsia="仿宋_GB2312"/>
          <w:b/>
          <w:bCs/>
          <w:color w:val="auto"/>
          <w:sz w:val="32"/>
          <w:szCs w:val="32"/>
        </w:rPr>
      </w:pPr>
      <w:r>
        <w:rPr>
          <w:rFonts w:hint="eastAsia" w:ascii="仿宋_GB2312" w:eastAsia="仿宋_GB2312"/>
          <w:b/>
          <w:bCs/>
          <w:color w:val="auto"/>
          <w:sz w:val="32"/>
          <w:szCs w:val="32"/>
          <w:lang w:val="en-US" w:eastAsia="zh-CN"/>
        </w:rPr>
        <w:t>二</w:t>
      </w:r>
      <w:r>
        <w:rPr>
          <w:rFonts w:hint="eastAsia" w:ascii="仿宋_GB2312" w:eastAsia="仿宋_GB2312"/>
          <w:b/>
          <w:bCs/>
          <w:color w:val="auto"/>
          <w:sz w:val="32"/>
          <w:szCs w:val="32"/>
        </w:rPr>
        <w:t>、乙方承诺：</w:t>
      </w:r>
    </w:p>
    <w:p w14:paraId="6AE37994">
      <w:pPr>
        <w:ind w:firstLine="640" w:firstLineChars="200"/>
        <w:rPr>
          <w:rFonts w:hint="eastAsia" w:ascii="仿宋" w:hAnsi="仿宋" w:eastAsia="仿宋" w:cs="Times New Roman"/>
          <w:sz w:val="32"/>
          <w:szCs w:val="32"/>
          <w:highlight w:val="none"/>
        </w:rPr>
      </w:pPr>
      <w:r>
        <w:rPr>
          <w:rFonts w:hint="eastAsia" w:ascii="仿宋" w:hAnsi="仿宋" w:eastAsia="仿宋" w:cs="Times New Roman"/>
          <w:sz w:val="32"/>
          <w:szCs w:val="32"/>
          <w:highlight w:val="none"/>
        </w:rPr>
        <w:t>（一）</w:t>
      </w:r>
      <w:r>
        <w:rPr>
          <w:rFonts w:hint="eastAsia" w:ascii="仿宋" w:hAnsi="仿宋" w:eastAsia="仿宋" w:cs="Times New Roman"/>
          <w:sz w:val="32"/>
          <w:szCs w:val="32"/>
          <w:highlight w:val="none"/>
          <w:lang w:val="en-US" w:eastAsia="zh-CN"/>
        </w:rPr>
        <w:t>乙方</w:t>
      </w:r>
      <w:r>
        <w:rPr>
          <w:rFonts w:hint="eastAsia" w:ascii="仿宋" w:hAnsi="仿宋" w:eastAsia="仿宋" w:cs="Times New Roman"/>
          <w:sz w:val="32"/>
          <w:szCs w:val="32"/>
          <w:highlight w:val="none"/>
        </w:rPr>
        <w:t>所开采的矿产资源优先保障本地重点工程、重大项目和民生工程。</w:t>
      </w:r>
    </w:p>
    <w:p w14:paraId="63AD29DA">
      <w:pPr>
        <w:ind w:firstLine="640" w:firstLineChars="200"/>
        <w:rPr>
          <w:rFonts w:hint="eastAsia" w:ascii="仿宋" w:hAnsi="仿宋" w:eastAsia="仿宋" w:cs="Times New Roman"/>
          <w:color w:val="FF0000"/>
          <w:sz w:val="32"/>
          <w:szCs w:val="32"/>
          <w:highlight w:val="none"/>
        </w:rPr>
      </w:pPr>
      <w:r>
        <w:rPr>
          <w:rFonts w:hint="eastAsia" w:ascii="仿宋" w:hAnsi="仿宋" w:eastAsia="仿宋" w:cs="Times New Roman"/>
          <w:sz w:val="32"/>
          <w:szCs w:val="32"/>
          <w:highlight w:val="none"/>
        </w:rPr>
        <w:t>（二）为全面提高资源利用效率，实现矿业开发高质量发展，打通建筑石料上下游</w:t>
      </w:r>
      <w:r>
        <w:rPr>
          <w:rFonts w:hint="eastAsia" w:ascii="仿宋" w:hAnsi="仿宋" w:eastAsia="仿宋" w:cs="Times New Roman"/>
          <w:sz w:val="32"/>
          <w:szCs w:val="32"/>
          <w:highlight w:val="none"/>
          <w:lang w:eastAsia="zh-CN"/>
        </w:rPr>
        <w:t>产业</w:t>
      </w:r>
      <w:r>
        <w:rPr>
          <w:rFonts w:hint="eastAsia" w:ascii="仿宋" w:hAnsi="仿宋" w:eastAsia="仿宋" w:cs="Times New Roman"/>
          <w:sz w:val="32"/>
          <w:szCs w:val="32"/>
          <w:highlight w:val="none"/>
        </w:rPr>
        <w:t>，实现机制砂全链条产业链发展，</w:t>
      </w:r>
      <w:r>
        <w:rPr>
          <w:rFonts w:hint="eastAsia" w:ascii="仿宋" w:hAnsi="仿宋" w:eastAsia="仿宋" w:cs="Times New Roman"/>
          <w:sz w:val="32"/>
          <w:szCs w:val="32"/>
          <w:highlight w:val="none"/>
          <w:lang w:eastAsia="zh-CN"/>
        </w:rPr>
        <w:t>乙方</w:t>
      </w:r>
      <w:r>
        <w:rPr>
          <w:rFonts w:hint="eastAsia" w:ascii="仿宋" w:hAnsi="仿宋" w:eastAsia="仿宋" w:cs="Times New Roman"/>
          <w:sz w:val="32"/>
          <w:szCs w:val="32"/>
          <w:highlight w:val="none"/>
        </w:rPr>
        <w:t>须在领取《采矿许可证》之日起12个月内完成矿山基建工作并投产。相关企业在花都依法依规缴纳相关税费，开立对公结算账户，在广州市花都区开展经营办公。</w:t>
      </w:r>
      <w:r>
        <w:rPr>
          <w:rFonts w:hint="eastAsia" w:ascii="仿宋" w:hAnsi="仿宋" w:eastAsia="仿宋" w:cs="Times New Roman"/>
          <w:color w:val="FF0000"/>
          <w:sz w:val="32"/>
          <w:szCs w:val="32"/>
          <w:highlight w:val="none"/>
        </w:rPr>
        <w:t>项目投入运营后平均年营业额不低于6亿元，平均年税收不低于1亿元。</w:t>
      </w:r>
    </w:p>
    <w:p w14:paraId="05EB4369">
      <w:pPr>
        <w:adjustRightInd w:val="0"/>
        <w:snapToGrid w:val="0"/>
        <w:spacing w:line="600" w:lineRule="atLeast"/>
        <w:ind w:left="-197" w:leftChars="-94" w:right="-153" w:rightChars="-73" w:firstLine="601" w:firstLineChars="187"/>
        <w:rPr>
          <w:rFonts w:hint="default" w:ascii="仿宋_GB2312" w:hAnsi="仿宋_GB2312" w:eastAsia="仿宋_GB2312" w:cs="仿宋_GB2312"/>
          <w:b/>
          <w:bCs w:val="0"/>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三、违约责任</w:t>
      </w:r>
    </w:p>
    <w:p w14:paraId="167AD866">
      <w:pPr>
        <w:adjustRightInd w:val="0"/>
        <w:snapToGrid w:val="0"/>
        <w:spacing w:line="600" w:lineRule="atLeast"/>
        <w:ind w:left="-197" w:leftChars="-94" w:right="-153" w:rightChars="-73" w:firstLine="598" w:firstLineChars="187"/>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highlight w:val="none"/>
        </w:rPr>
        <w:t>若乙方</w:t>
      </w:r>
      <w:r>
        <w:rPr>
          <w:rFonts w:hint="eastAsia" w:ascii="仿宋_GB2312" w:hAnsi="仿宋_GB2312" w:eastAsia="仿宋_GB2312" w:cs="仿宋_GB2312"/>
          <w:bCs/>
          <w:color w:val="auto"/>
          <w:sz w:val="32"/>
          <w:szCs w:val="32"/>
        </w:rPr>
        <w:t>未兑现或违反</w:t>
      </w:r>
      <w:r>
        <w:rPr>
          <w:rFonts w:hint="eastAsia" w:ascii="仿宋_GB2312" w:hAnsi="仿宋_GB2312" w:eastAsia="仿宋_GB2312" w:cs="仿宋_GB2312"/>
          <w:bCs/>
          <w:color w:val="auto"/>
          <w:sz w:val="32"/>
          <w:szCs w:val="32"/>
          <w:lang w:eastAsia="zh-CN"/>
        </w:rPr>
        <w:t>本协议第</w:t>
      </w:r>
      <w:r>
        <w:rPr>
          <w:rFonts w:hint="eastAsia" w:ascii="仿宋_GB2312" w:hAnsi="仿宋_GB2312" w:eastAsia="仿宋_GB2312" w:cs="仿宋_GB2312"/>
          <w:bCs/>
          <w:color w:val="auto"/>
          <w:sz w:val="32"/>
          <w:szCs w:val="32"/>
          <w:lang w:val="en-US" w:eastAsia="zh-CN"/>
        </w:rPr>
        <w:t>二</w:t>
      </w:r>
      <w:r>
        <w:rPr>
          <w:rFonts w:hint="eastAsia" w:ascii="仿宋_GB2312" w:hAnsi="仿宋_GB2312" w:eastAsia="仿宋_GB2312" w:cs="仿宋_GB2312"/>
          <w:bCs/>
          <w:color w:val="auto"/>
          <w:sz w:val="32"/>
          <w:szCs w:val="32"/>
          <w:lang w:eastAsia="zh-CN"/>
        </w:rPr>
        <w:t>条约</w:t>
      </w:r>
      <w:r>
        <w:rPr>
          <w:rFonts w:hint="eastAsia" w:ascii="仿宋_GB2312" w:hAnsi="仿宋_GB2312" w:eastAsia="仿宋_GB2312" w:cs="仿宋_GB2312"/>
          <w:bCs/>
          <w:color w:val="auto"/>
          <w:sz w:val="32"/>
          <w:szCs w:val="32"/>
        </w:rPr>
        <w:t>定，</w:t>
      </w:r>
      <w:r>
        <w:rPr>
          <w:rFonts w:hint="eastAsia" w:ascii="仿宋_GB2312" w:hAnsi="仿宋_GB2312" w:eastAsia="仿宋_GB2312" w:cs="仿宋_GB2312"/>
          <w:bCs/>
          <w:color w:val="auto"/>
          <w:sz w:val="32"/>
          <w:szCs w:val="32"/>
          <w:lang w:val="en-US" w:eastAsia="zh-CN"/>
        </w:rPr>
        <w:t>乙方应承担违约责任，</w:t>
      </w:r>
      <w:r>
        <w:rPr>
          <w:rFonts w:hint="eastAsia" w:ascii="仿宋_GB2312" w:hAnsi="仿宋_GB2312" w:eastAsia="仿宋_GB2312" w:cs="仿宋_GB2312"/>
          <w:bCs/>
          <w:color w:val="auto"/>
          <w:sz w:val="32"/>
          <w:szCs w:val="32"/>
        </w:rPr>
        <w:t>甲方有权同时按以下</w:t>
      </w:r>
      <w:r>
        <w:rPr>
          <w:rFonts w:hint="eastAsia" w:ascii="仿宋_GB2312" w:hAnsi="仿宋_GB2312" w:eastAsia="仿宋_GB2312" w:cs="仿宋_GB2312"/>
          <w:bCs/>
          <w:color w:val="auto"/>
          <w:sz w:val="32"/>
          <w:szCs w:val="32"/>
          <w:lang w:eastAsia="zh-CN"/>
        </w:rPr>
        <w:t>第</w:t>
      </w:r>
      <w:r>
        <w:rPr>
          <w:rFonts w:hint="eastAsia" w:ascii="仿宋_GB2312" w:hAnsi="仿宋_GB2312" w:eastAsia="仿宋_GB2312" w:cs="仿宋_GB2312"/>
          <w:bCs/>
          <w:color w:val="auto"/>
          <w:sz w:val="32"/>
          <w:szCs w:val="32"/>
          <w:u w:val="single"/>
        </w:rPr>
        <w:t xml:space="preserve">      </w:t>
      </w:r>
      <w:r>
        <w:rPr>
          <w:rFonts w:hint="eastAsia" w:ascii="仿宋_GB2312" w:hAnsi="仿宋_GB2312" w:eastAsia="仿宋_GB2312" w:cs="仿宋_GB2312"/>
          <w:bCs/>
          <w:color w:val="auto"/>
          <w:sz w:val="32"/>
          <w:szCs w:val="32"/>
        </w:rPr>
        <w:t>方式处理</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乙方对此没有任何异议</w:t>
      </w:r>
      <w:r>
        <w:rPr>
          <w:rFonts w:hint="eastAsia" w:ascii="仿宋_GB2312" w:hAnsi="仿宋_GB2312" w:eastAsia="仿宋_GB2312" w:cs="仿宋_GB2312"/>
          <w:bCs/>
          <w:color w:val="auto"/>
          <w:sz w:val="32"/>
          <w:szCs w:val="32"/>
        </w:rPr>
        <w:t>：</w:t>
      </w:r>
    </w:p>
    <w:p w14:paraId="28E99957">
      <w:pPr>
        <w:adjustRightInd w:val="0"/>
        <w:snapToGrid w:val="0"/>
        <w:spacing w:line="600" w:lineRule="atLeast"/>
        <w:ind w:left="-197" w:leftChars="-94" w:right="-153" w:rightChars="-73" w:firstLine="598" w:firstLineChars="187"/>
        <w:rPr>
          <w:rFonts w:hint="eastAsia" w:ascii="仿宋_GB2312" w:hAnsi="仿宋_GB2312" w:eastAsia="仿宋_GB2312" w:cs="仿宋_GB2312"/>
          <w:b/>
          <w:color w:val="auto"/>
          <w:sz w:val="32"/>
          <w:szCs w:val="32"/>
          <w:lang w:eastAsia="zh-CN"/>
        </w:rPr>
      </w:pPr>
      <w:r>
        <w:rPr>
          <w:rFonts w:hint="eastAsia" w:ascii="仿宋_GB2312" w:hAnsi="仿宋_GB2312" w:eastAsia="仿宋_GB2312" w:cs="仿宋_GB2312"/>
          <w:bCs/>
          <w:color w:val="auto"/>
          <w:sz w:val="32"/>
          <w:szCs w:val="32"/>
        </w:rPr>
        <w:t>（一）</w:t>
      </w:r>
      <w:r>
        <w:rPr>
          <w:rFonts w:hint="eastAsia" w:ascii="仿宋_GB2312" w:hAnsi="仿宋_GB2312" w:eastAsia="仿宋_GB2312" w:cs="仿宋_GB2312"/>
          <w:b/>
          <w:color w:val="auto"/>
          <w:sz w:val="32"/>
          <w:szCs w:val="32"/>
          <w:lang w:eastAsia="zh-CN"/>
        </w:rPr>
        <w:t>第一种方式</w:t>
      </w:r>
    </w:p>
    <w:p w14:paraId="3E5CB7F0">
      <w:pPr>
        <w:adjustRightInd w:val="0"/>
        <w:snapToGrid w:val="0"/>
        <w:spacing w:line="600" w:lineRule="atLeast"/>
        <w:ind w:left="-197" w:leftChars="-94" w:right="-153" w:rightChars="-73" w:firstLine="601" w:firstLineChars="187"/>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lang w:val="en-US" w:eastAsia="zh-CN"/>
        </w:rPr>
        <w:t>1、</w:t>
      </w:r>
      <w:r>
        <w:rPr>
          <w:rFonts w:hint="eastAsia" w:ascii="仿宋_GB2312" w:hAnsi="仿宋_GB2312" w:eastAsia="仿宋_GB2312" w:cs="仿宋_GB2312"/>
          <w:b/>
          <w:color w:val="auto"/>
          <w:sz w:val="32"/>
          <w:szCs w:val="32"/>
        </w:rPr>
        <w:t>乙方为上市企业或上市企业投资的企业</w:t>
      </w:r>
    </w:p>
    <w:p w14:paraId="0835F0AD">
      <w:pPr>
        <w:adjustRightInd w:val="0"/>
        <w:snapToGrid w:val="0"/>
        <w:spacing w:line="600" w:lineRule="atLeast"/>
        <w:ind w:left="-197" w:leftChars="-94" w:right="-153" w:rightChars="-73" w:firstLine="598" w:firstLineChars="187"/>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乙方</w:t>
      </w:r>
      <w:r>
        <w:rPr>
          <w:rFonts w:hint="eastAsia" w:ascii="仿宋_GB2312" w:hAnsi="仿宋_GB2312" w:eastAsia="仿宋_GB2312" w:cs="仿宋_GB2312"/>
          <w:bCs/>
          <w:color w:val="auto"/>
          <w:sz w:val="32"/>
          <w:szCs w:val="32"/>
          <w:lang w:val="en-US" w:eastAsia="zh-CN"/>
        </w:rPr>
        <w:t>应</w:t>
      </w:r>
      <w:r>
        <w:rPr>
          <w:rFonts w:hint="eastAsia" w:ascii="仿宋_GB2312" w:hAnsi="仿宋_GB2312" w:eastAsia="仿宋_GB2312" w:cs="仿宋_GB2312"/>
          <w:bCs/>
          <w:color w:val="auto"/>
          <w:sz w:val="32"/>
          <w:szCs w:val="32"/>
        </w:rPr>
        <w:t>向甲方支付</w:t>
      </w:r>
      <w:r>
        <w:rPr>
          <w:rFonts w:hint="eastAsia" w:ascii="仿宋_GB2312" w:hAnsi="仿宋_GB2312" w:eastAsia="仿宋_GB2312" w:cs="仿宋_GB2312"/>
          <w:bCs/>
          <w:color w:val="auto"/>
          <w:sz w:val="32"/>
          <w:szCs w:val="32"/>
          <w:lang w:eastAsia="zh-CN"/>
        </w:rPr>
        <w:t>采矿权成交价款</w:t>
      </w:r>
      <w:r>
        <w:rPr>
          <w:rFonts w:hint="eastAsia" w:ascii="仿宋_GB2312" w:hAnsi="仿宋_GB2312" w:eastAsia="仿宋_GB2312" w:cs="仿宋_GB2312"/>
          <w:bCs/>
          <w:color w:val="auto"/>
          <w:sz w:val="32"/>
          <w:szCs w:val="32"/>
          <w:lang w:val="en-US" w:eastAsia="zh-CN"/>
        </w:rPr>
        <w:t>总金额</w:t>
      </w:r>
      <w:r>
        <w:rPr>
          <w:rFonts w:hint="eastAsia" w:ascii="仿宋_GB2312" w:hAnsi="仿宋_GB2312" w:eastAsia="仿宋_GB2312" w:cs="仿宋_GB2312"/>
          <w:bCs/>
          <w:color w:val="auto"/>
          <w:sz w:val="32"/>
          <w:szCs w:val="32"/>
        </w:rPr>
        <w:t>2倍的违约金和赔偿金。</w:t>
      </w:r>
    </w:p>
    <w:p w14:paraId="4289B8B7">
      <w:pPr>
        <w:adjustRightInd w:val="0"/>
        <w:snapToGrid w:val="0"/>
        <w:spacing w:line="600" w:lineRule="atLeast"/>
        <w:ind w:left="-197" w:leftChars="-94" w:right="-153" w:rightChars="-73" w:firstLine="601" w:firstLineChars="187"/>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lang w:val="en-US" w:eastAsia="zh-CN"/>
        </w:rPr>
        <w:t>2、</w:t>
      </w:r>
      <w:r>
        <w:rPr>
          <w:rFonts w:hint="eastAsia" w:ascii="仿宋_GB2312" w:hAnsi="仿宋_GB2312" w:eastAsia="仿宋_GB2312" w:cs="仿宋_GB2312"/>
          <w:b/>
          <w:color w:val="auto"/>
          <w:sz w:val="32"/>
          <w:szCs w:val="32"/>
        </w:rPr>
        <w:t>乙方为已递交首次公开发行股票申请文件的企业</w:t>
      </w:r>
    </w:p>
    <w:p w14:paraId="7B812D40">
      <w:pPr>
        <w:adjustRightInd w:val="0"/>
        <w:snapToGrid w:val="0"/>
        <w:spacing w:line="600" w:lineRule="atLeast"/>
        <w:ind w:left="-197" w:leftChars="-94" w:right="-153" w:rightChars="-73" w:firstLine="598" w:firstLineChars="187"/>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乙方</w:t>
      </w:r>
      <w:r>
        <w:rPr>
          <w:rFonts w:hint="eastAsia" w:ascii="仿宋_GB2312" w:hAnsi="仿宋_GB2312" w:eastAsia="仿宋_GB2312" w:cs="仿宋_GB2312"/>
          <w:bCs/>
          <w:color w:val="auto"/>
          <w:sz w:val="32"/>
          <w:szCs w:val="32"/>
          <w:lang w:val="en-US" w:eastAsia="zh-CN"/>
        </w:rPr>
        <w:t>应</w:t>
      </w:r>
      <w:r>
        <w:rPr>
          <w:rFonts w:hint="eastAsia" w:ascii="仿宋_GB2312" w:hAnsi="仿宋_GB2312" w:eastAsia="仿宋_GB2312" w:cs="仿宋_GB2312"/>
          <w:bCs/>
          <w:color w:val="auto"/>
          <w:sz w:val="32"/>
          <w:szCs w:val="32"/>
        </w:rPr>
        <w:t>向甲方支付</w:t>
      </w:r>
      <w:r>
        <w:rPr>
          <w:rFonts w:hint="eastAsia" w:ascii="仿宋_GB2312" w:hAnsi="仿宋_GB2312" w:eastAsia="仿宋_GB2312" w:cs="仿宋_GB2312"/>
          <w:bCs/>
          <w:color w:val="auto"/>
          <w:sz w:val="32"/>
          <w:szCs w:val="32"/>
          <w:lang w:eastAsia="zh-CN"/>
        </w:rPr>
        <w:t>采矿权成交价款</w:t>
      </w:r>
      <w:r>
        <w:rPr>
          <w:rFonts w:hint="eastAsia" w:ascii="仿宋_GB2312" w:hAnsi="仿宋_GB2312" w:eastAsia="仿宋_GB2312" w:cs="仿宋_GB2312"/>
          <w:bCs/>
          <w:color w:val="auto"/>
          <w:sz w:val="32"/>
          <w:szCs w:val="32"/>
          <w:lang w:val="en-US" w:eastAsia="zh-CN"/>
        </w:rPr>
        <w:t>总金额</w:t>
      </w:r>
      <w:r>
        <w:rPr>
          <w:rFonts w:hint="eastAsia" w:ascii="仿宋_GB2312" w:hAnsi="仿宋_GB2312" w:eastAsia="仿宋_GB2312" w:cs="仿宋_GB2312"/>
          <w:bCs/>
          <w:color w:val="auto"/>
          <w:sz w:val="32"/>
          <w:szCs w:val="32"/>
        </w:rPr>
        <w:t>2倍的违约金和赔偿金。</w:t>
      </w:r>
    </w:p>
    <w:p w14:paraId="27F9CEAD">
      <w:pPr>
        <w:adjustRightInd w:val="0"/>
        <w:snapToGrid w:val="0"/>
        <w:spacing w:line="600" w:lineRule="atLeast"/>
        <w:ind w:left="-197" w:leftChars="-94" w:right="-153" w:rightChars="-73" w:firstLine="601" w:firstLineChars="187"/>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lang w:val="en-US" w:eastAsia="zh-CN"/>
        </w:rPr>
        <w:t>3、</w:t>
      </w:r>
      <w:r>
        <w:rPr>
          <w:rFonts w:hint="eastAsia" w:ascii="仿宋_GB2312" w:hAnsi="仿宋_GB2312" w:eastAsia="仿宋_GB2312" w:cs="仿宋_GB2312"/>
          <w:b/>
          <w:color w:val="auto"/>
          <w:sz w:val="32"/>
          <w:szCs w:val="32"/>
        </w:rPr>
        <w:t>乙方为其他企业</w:t>
      </w:r>
    </w:p>
    <w:p w14:paraId="02612E49">
      <w:pPr>
        <w:adjustRightInd w:val="0"/>
        <w:snapToGrid w:val="0"/>
        <w:spacing w:line="600" w:lineRule="atLeast"/>
        <w:ind w:left="-197" w:leftChars="-94" w:right="-153" w:rightChars="-73" w:firstLine="598" w:firstLineChars="187"/>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甲方有权单方解除本协议，并无需向乙方承担任何责任；</w:t>
      </w:r>
    </w:p>
    <w:p w14:paraId="791BA4E4">
      <w:pPr>
        <w:adjustRightInd w:val="0"/>
        <w:snapToGrid w:val="0"/>
        <w:spacing w:line="560" w:lineRule="exact"/>
        <w:ind w:left="-197" w:leftChars="-94" w:right="-153" w:rightChars="-73" w:firstLine="601" w:firstLineChars="187"/>
        <w:rPr>
          <w:rFonts w:hint="default" w:ascii="仿宋_GB2312" w:hAnsi="仿宋_GB2312" w:eastAsia="仿宋_GB2312" w:cs="仿宋_GB2312"/>
          <w:b/>
          <w:bCs w:val="0"/>
          <w:color w:val="auto"/>
          <w:sz w:val="32"/>
          <w:szCs w:val="32"/>
          <w:highlight w:val="none"/>
          <w:lang w:val="en-US" w:eastAsia="zh-CN"/>
        </w:rPr>
      </w:pPr>
      <w:r>
        <w:rPr>
          <w:rFonts w:hint="eastAsia" w:ascii="仿宋_GB2312" w:hAnsi="仿宋_GB2312" w:eastAsia="仿宋_GB2312" w:cs="仿宋_GB2312"/>
          <w:b/>
          <w:bCs w:val="0"/>
          <w:color w:val="auto"/>
          <w:sz w:val="32"/>
          <w:szCs w:val="32"/>
          <w:highlight w:val="none"/>
          <w:lang w:eastAsia="zh-CN"/>
        </w:rPr>
        <w:t>（二）第二种方式</w:t>
      </w:r>
    </w:p>
    <w:p w14:paraId="3FBF184A">
      <w:pPr>
        <w:adjustRightInd w:val="0"/>
        <w:snapToGrid w:val="0"/>
        <w:spacing w:line="560" w:lineRule="exact"/>
        <w:ind w:left="-197" w:leftChars="-94" w:right="-153" w:rightChars="-73" w:firstLine="598" w:firstLineChars="187"/>
        <w:rPr>
          <w:rFonts w:hint="default"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eastAsia="zh-CN"/>
        </w:rPr>
        <w:t>甲方有权</w:t>
      </w:r>
      <w:r>
        <w:rPr>
          <w:rFonts w:hint="eastAsia" w:ascii="仿宋_GB2312" w:hAnsi="仿宋_GB2312" w:eastAsia="仿宋_GB2312" w:cs="仿宋_GB2312"/>
          <w:bCs/>
          <w:color w:val="auto"/>
          <w:sz w:val="32"/>
          <w:szCs w:val="32"/>
          <w:highlight w:val="none"/>
        </w:rPr>
        <w:t>收回</w:t>
      </w:r>
      <w:r>
        <w:rPr>
          <w:rFonts w:hint="eastAsia" w:ascii="仿宋_GB2312" w:hAnsi="仿宋_GB2312" w:eastAsia="仿宋_GB2312" w:cs="仿宋_GB2312"/>
          <w:bCs/>
          <w:color w:val="auto"/>
          <w:sz w:val="32"/>
          <w:szCs w:val="32"/>
          <w:highlight w:val="none"/>
          <w:lang w:val="en-US" w:eastAsia="zh-CN"/>
        </w:rPr>
        <w:t>乙方</w:t>
      </w:r>
      <w:r>
        <w:rPr>
          <w:rFonts w:hint="eastAsia" w:ascii="仿宋_GB2312" w:hAnsi="仿宋_GB2312" w:eastAsia="仿宋_GB2312" w:cs="仿宋_GB2312"/>
          <w:bCs/>
          <w:color w:val="auto"/>
          <w:sz w:val="32"/>
          <w:szCs w:val="32"/>
          <w:highlight w:val="none"/>
        </w:rPr>
        <w:t>已获得的政府补助（奖励），并要求</w:t>
      </w:r>
      <w:r>
        <w:rPr>
          <w:rFonts w:hint="eastAsia" w:ascii="仿宋_GB2312" w:hAnsi="仿宋_GB2312" w:eastAsia="仿宋_GB2312" w:cs="仿宋_GB2312"/>
          <w:bCs/>
          <w:color w:val="auto"/>
          <w:sz w:val="32"/>
          <w:szCs w:val="32"/>
          <w:highlight w:val="none"/>
          <w:lang w:eastAsia="zh-CN"/>
        </w:rPr>
        <w:t>其</w:t>
      </w:r>
      <w:r>
        <w:rPr>
          <w:rFonts w:hint="eastAsia" w:ascii="仿宋_GB2312" w:hAnsi="仿宋_GB2312" w:eastAsia="仿宋_GB2312" w:cs="仿宋_GB2312"/>
          <w:bCs/>
          <w:color w:val="auto"/>
          <w:sz w:val="32"/>
          <w:szCs w:val="32"/>
          <w:highlight w:val="none"/>
        </w:rPr>
        <w:t>承担甲方的相应损失，且</w:t>
      </w:r>
      <w:r>
        <w:rPr>
          <w:rFonts w:hint="eastAsia" w:ascii="仿宋_GB2312" w:hAnsi="仿宋_GB2312" w:eastAsia="仿宋_GB2312" w:cs="仿宋_GB2312"/>
          <w:bCs/>
          <w:color w:val="auto"/>
          <w:sz w:val="32"/>
          <w:szCs w:val="32"/>
          <w:highlight w:val="none"/>
          <w:lang w:eastAsia="zh-CN"/>
        </w:rPr>
        <w:t>其</w:t>
      </w:r>
      <w:r>
        <w:rPr>
          <w:rFonts w:hint="eastAsia" w:ascii="仿宋_GB2312" w:hAnsi="仿宋_GB2312" w:eastAsia="仿宋_GB2312" w:cs="仿宋_GB2312"/>
          <w:bCs/>
          <w:color w:val="auto"/>
          <w:sz w:val="32"/>
          <w:szCs w:val="32"/>
          <w:highlight w:val="none"/>
        </w:rPr>
        <w:t>不再享有花都区有关政策支持。</w:t>
      </w:r>
      <w:r>
        <w:rPr>
          <w:rFonts w:ascii="仿宋_GB2312" w:hAnsi="仿宋_GB2312" w:eastAsia="仿宋_GB2312" w:cs="仿宋_GB2312"/>
          <w:bCs/>
          <w:color w:val="auto"/>
          <w:sz w:val="32"/>
          <w:szCs w:val="32"/>
          <w:highlight w:val="none"/>
        </w:rPr>
        <w:t>乙方对项目公司的</w:t>
      </w:r>
      <w:r>
        <w:rPr>
          <w:rFonts w:hint="eastAsia" w:ascii="仿宋_GB2312" w:hAnsi="仿宋_GB2312" w:eastAsia="仿宋_GB2312" w:cs="仿宋_GB2312"/>
          <w:bCs/>
          <w:color w:val="auto"/>
          <w:sz w:val="32"/>
          <w:szCs w:val="32"/>
          <w:highlight w:val="none"/>
          <w:lang w:val="en-US" w:eastAsia="zh-CN"/>
        </w:rPr>
        <w:t>违约</w:t>
      </w:r>
      <w:r>
        <w:rPr>
          <w:rFonts w:hint="eastAsia" w:ascii="仿宋_GB2312" w:hAnsi="仿宋_GB2312" w:eastAsia="仿宋_GB2312" w:cs="仿宋_GB2312"/>
          <w:bCs/>
          <w:color w:val="auto"/>
          <w:sz w:val="32"/>
          <w:szCs w:val="32"/>
          <w:highlight w:val="none"/>
          <w:lang w:eastAsia="zh-CN"/>
        </w:rPr>
        <w:t>责任</w:t>
      </w:r>
      <w:r>
        <w:rPr>
          <w:rFonts w:ascii="仿宋_GB2312" w:hAnsi="仿宋_GB2312" w:eastAsia="仿宋_GB2312" w:cs="仿宋_GB2312"/>
          <w:bCs/>
          <w:color w:val="auto"/>
          <w:sz w:val="32"/>
          <w:szCs w:val="32"/>
          <w:highlight w:val="none"/>
        </w:rPr>
        <w:t>向甲方承担连带</w:t>
      </w:r>
      <w:r>
        <w:rPr>
          <w:rFonts w:hint="eastAsia" w:ascii="仿宋_GB2312" w:hAnsi="仿宋_GB2312" w:eastAsia="仿宋_GB2312" w:cs="仿宋_GB2312"/>
          <w:bCs/>
          <w:color w:val="auto"/>
          <w:sz w:val="32"/>
          <w:szCs w:val="32"/>
          <w:highlight w:val="none"/>
          <w:lang w:val="en-US" w:eastAsia="zh-CN"/>
        </w:rPr>
        <w:t>保证</w:t>
      </w:r>
      <w:r>
        <w:rPr>
          <w:rFonts w:ascii="仿宋_GB2312" w:hAnsi="仿宋_GB2312" w:eastAsia="仿宋_GB2312" w:cs="仿宋_GB2312"/>
          <w:bCs/>
          <w:color w:val="auto"/>
          <w:sz w:val="32"/>
          <w:szCs w:val="32"/>
          <w:highlight w:val="none"/>
        </w:rPr>
        <w:t>责任。</w:t>
      </w:r>
    </w:p>
    <w:p w14:paraId="219463E3">
      <w:pPr>
        <w:adjustRightInd w:val="0"/>
        <w:snapToGrid w:val="0"/>
        <w:spacing w:line="560" w:lineRule="exact"/>
        <w:ind w:left="-197" w:leftChars="-94" w:right="-153" w:rightChars="-73" w:firstLine="601" w:firstLineChars="187"/>
        <w:rPr>
          <w:rFonts w:hint="eastAsia" w:ascii="仿宋_GB2312" w:hAnsi="仿宋_GB2312" w:eastAsia="仿宋_GB2312" w:cs="仿宋_GB2312"/>
          <w:b/>
          <w:bCs w:val="0"/>
          <w:color w:val="auto"/>
          <w:sz w:val="32"/>
          <w:szCs w:val="32"/>
          <w:highlight w:val="none"/>
          <w:lang w:eastAsia="zh-CN"/>
        </w:rPr>
      </w:pPr>
      <w:r>
        <w:rPr>
          <w:rFonts w:hint="eastAsia" w:ascii="仿宋_GB2312" w:hAnsi="仿宋_GB2312" w:eastAsia="仿宋_GB2312" w:cs="仿宋_GB2312"/>
          <w:b/>
          <w:bCs w:val="0"/>
          <w:color w:val="auto"/>
          <w:sz w:val="32"/>
          <w:szCs w:val="32"/>
          <w:highlight w:val="none"/>
        </w:rPr>
        <w:t>（</w:t>
      </w:r>
      <w:r>
        <w:rPr>
          <w:rFonts w:hint="eastAsia" w:ascii="仿宋_GB2312" w:hAnsi="仿宋_GB2312" w:eastAsia="仿宋_GB2312" w:cs="仿宋_GB2312"/>
          <w:b/>
          <w:bCs w:val="0"/>
          <w:color w:val="auto"/>
          <w:sz w:val="32"/>
          <w:szCs w:val="32"/>
          <w:highlight w:val="none"/>
          <w:lang w:eastAsia="zh-CN"/>
        </w:rPr>
        <w:t>三</w:t>
      </w:r>
      <w:r>
        <w:rPr>
          <w:rFonts w:hint="eastAsia" w:ascii="仿宋_GB2312" w:hAnsi="仿宋_GB2312" w:eastAsia="仿宋_GB2312" w:cs="仿宋_GB2312"/>
          <w:b/>
          <w:bCs w:val="0"/>
          <w:color w:val="auto"/>
          <w:sz w:val="32"/>
          <w:szCs w:val="32"/>
          <w:highlight w:val="none"/>
        </w:rPr>
        <w:t>）</w:t>
      </w:r>
      <w:r>
        <w:rPr>
          <w:rFonts w:hint="eastAsia" w:ascii="仿宋_GB2312" w:hAnsi="仿宋_GB2312" w:eastAsia="仿宋_GB2312" w:cs="仿宋_GB2312"/>
          <w:b/>
          <w:bCs w:val="0"/>
          <w:color w:val="auto"/>
          <w:sz w:val="32"/>
          <w:szCs w:val="32"/>
          <w:highlight w:val="none"/>
          <w:lang w:eastAsia="zh-CN"/>
        </w:rPr>
        <w:t>第三种方式</w:t>
      </w:r>
    </w:p>
    <w:p w14:paraId="3064BD62">
      <w:pPr>
        <w:adjustRightInd w:val="0"/>
        <w:snapToGrid w:val="0"/>
        <w:spacing w:line="560" w:lineRule="exact"/>
        <w:ind w:left="-197" w:leftChars="-94" w:right="-153" w:rightChars="-73" w:firstLine="598" w:firstLineChars="187"/>
        <w:rPr>
          <w:rFonts w:hint="eastAsia" w:ascii="仿宋_GB2312" w:eastAsia="仿宋_GB2312"/>
          <w:color w:val="auto"/>
          <w:sz w:val="32"/>
          <w:szCs w:val="32"/>
          <w:lang w:eastAsia="zh-CN"/>
        </w:rPr>
      </w:pPr>
      <w:r>
        <w:rPr>
          <w:rFonts w:hint="eastAsia" w:ascii="仿宋_GB2312" w:hAnsi="仿宋_GB2312" w:eastAsia="仿宋_GB2312" w:cs="仿宋_GB2312"/>
          <w:bCs/>
          <w:color w:val="auto"/>
          <w:sz w:val="32"/>
          <w:szCs w:val="32"/>
        </w:rPr>
        <w:t>乙方</w:t>
      </w:r>
      <w:r>
        <w:rPr>
          <w:rFonts w:hint="eastAsia" w:ascii="仿宋_GB2312" w:hAnsi="仿宋_GB2312" w:eastAsia="仿宋_GB2312" w:cs="仿宋_GB2312"/>
          <w:bCs/>
          <w:color w:val="auto"/>
          <w:sz w:val="32"/>
          <w:szCs w:val="32"/>
          <w:lang w:eastAsia="zh-CN"/>
        </w:rPr>
        <w:t>应</w:t>
      </w:r>
      <w:r>
        <w:rPr>
          <w:rFonts w:hint="eastAsia" w:ascii="仿宋_GB2312" w:hAnsi="仿宋_GB2312" w:eastAsia="仿宋_GB2312" w:cs="仿宋_GB2312"/>
          <w:bCs/>
          <w:color w:val="auto"/>
          <w:sz w:val="32"/>
          <w:szCs w:val="32"/>
        </w:rPr>
        <w:t>向甲方支付</w:t>
      </w:r>
      <w:r>
        <w:rPr>
          <w:rFonts w:hint="eastAsia" w:ascii="仿宋_GB2312" w:hAnsi="仿宋_GB2312" w:eastAsia="仿宋_GB2312" w:cs="仿宋_GB2312"/>
          <w:bCs/>
          <w:color w:val="auto"/>
          <w:sz w:val="32"/>
          <w:szCs w:val="32"/>
          <w:lang w:eastAsia="zh-CN"/>
        </w:rPr>
        <w:t>承诺</w:t>
      </w:r>
      <w:r>
        <w:rPr>
          <w:rFonts w:hint="eastAsia" w:ascii="仿宋_GB2312" w:hAnsi="仿宋_GB2312" w:eastAsia="仿宋_GB2312" w:cs="仿宋_GB2312"/>
          <w:bCs/>
          <w:color w:val="auto"/>
          <w:sz w:val="32"/>
          <w:szCs w:val="32"/>
        </w:rPr>
        <w:t>税收差额标准（即税收实际缴纳值与约定税收值之间的差额）的违约金</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甲方</w:t>
      </w:r>
      <w:r>
        <w:rPr>
          <w:rFonts w:hint="eastAsia" w:ascii="仿宋_GB2312" w:hAnsi="仿宋_GB2312" w:eastAsia="仿宋_GB2312" w:cs="仿宋_GB2312"/>
          <w:bCs/>
          <w:color w:val="auto"/>
          <w:sz w:val="32"/>
          <w:szCs w:val="32"/>
          <w:lang w:eastAsia="zh-CN"/>
        </w:rPr>
        <w:t>可</w:t>
      </w:r>
      <w:r>
        <w:rPr>
          <w:rFonts w:hint="eastAsia" w:ascii="仿宋_GB2312" w:hAnsi="仿宋_GB2312" w:eastAsia="仿宋_GB2312" w:cs="仿宋_GB2312"/>
          <w:bCs/>
          <w:color w:val="auto"/>
          <w:sz w:val="32"/>
          <w:szCs w:val="32"/>
        </w:rPr>
        <w:t>通报违约行为，通报情形纳入企业信用信息档案</w:t>
      </w:r>
      <w:r>
        <w:rPr>
          <w:rFonts w:hint="eastAsia" w:ascii="仿宋_GB2312" w:hAnsi="仿宋_GB2312" w:eastAsia="仿宋_GB2312" w:cs="仿宋_GB2312"/>
          <w:color w:val="auto"/>
          <w:sz w:val="32"/>
          <w:szCs w:val="32"/>
        </w:rPr>
        <w:t>。</w:t>
      </w:r>
    </w:p>
    <w:p w14:paraId="09D5B649">
      <w:pPr>
        <w:adjustRightInd w:val="0"/>
        <w:snapToGrid w:val="0"/>
        <w:spacing w:line="600" w:lineRule="atLeast"/>
        <w:ind w:left="-197" w:leftChars="-94" w:right="-153" w:rightChars="-73" w:firstLine="601" w:firstLineChars="187"/>
        <w:rPr>
          <w:rFonts w:hint="eastAsia" w:ascii="仿宋_GB2312" w:eastAsia="仿宋_GB2312"/>
          <w:b/>
          <w:bCs/>
          <w:color w:val="auto"/>
          <w:sz w:val="32"/>
          <w:szCs w:val="32"/>
          <w:lang w:val="en-US" w:eastAsia="zh-CN"/>
        </w:rPr>
      </w:pPr>
      <w:r>
        <w:rPr>
          <w:rFonts w:hint="eastAsia" w:ascii="仿宋_GB2312" w:eastAsia="仿宋_GB2312"/>
          <w:b/>
          <w:bCs/>
          <w:color w:val="auto"/>
          <w:sz w:val="32"/>
          <w:szCs w:val="32"/>
          <w:lang w:val="en-US" w:eastAsia="zh-CN"/>
        </w:rPr>
        <w:t>六、不可抗力</w:t>
      </w:r>
    </w:p>
    <w:p w14:paraId="3E1D0874">
      <w:pPr>
        <w:adjustRightInd w:val="0"/>
        <w:snapToGrid w:val="0"/>
        <w:spacing w:line="560" w:lineRule="exact"/>
        <w:ind w:left="-197" w:leftChars="-94" w:right="-153" w:rightChars="-73" w:firstLine="598" w:firstLineChars="187"/>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（一）任何一方因不可抗力不能履行本协议的，根据不可抗力的影响，部分或者全部免除责任，但法律法规规章另有规定的除外。任何一方迟延履行期间发生的不可抗力，不具有免责效力</w:t>
      </w:r>
      <w:r>
        <w:rPr>
          <w:rFonts w:hint="eastAsia" w:ascii="仿宋_GB2312" w:hAnsi="仿宋_GB2312" w:eastAsia="仿宋_GB2312" w:cs="仿宋_GB2312"/>
          <w:b w:val="0"/>
          <w:bCs w:val="0"/>
          <w:color w:val="auto"/>
          <w:sz w:val="32"/>
          <w:szCs w:val="32"/>
          <w:lang w:eastAsia="zh-CN"/>
        </w:rPr>
        <w:t>。</w:t>
      </w:r>
    </w:p>
    <w:p w14:paraId="6582DB20">
      <w:pPr>
        <w:adjustRightInd w:val="0"/>
        <w:snapToGrid w:val="0"/>
        <w:spacing w:line="560" w:lineRule="exact"/>
        <w:ind w:left="-197" w:leftChars="-94" w:right="-153" w:rightChars="-73" w:firstLine="598" w:firstLineChars="187"/>
        <w:rPr>
          <w:rFonts w:hint="default"/>
          <w:color w:val="auto"/>
          <w:lang w:val="en-US"/>
        </w:rPr>
      </w:pPr>
      <w:r>
        <w:rPr>
          <w:rFonts w:hint="eastAsia" w:ascii="仿宋_GB2312" w:hAnsi="仿宋_GB2312" w:eastAsia="仿宋_GB2312" w:cs="仿宋_GB2312"/>
          <w:b w:val="0"/>
          <w:bCs w:val="0"/>
          <w:color w:val="auto"/>
          <w:sz w:val="32"/>
          <w:szCs w:val="32"/>
          <w:lang w:eastAsia="zh-CN"/>
        </w:rPr>
        <w:t>（二）遇有不可抗力的一方，应在</w:t>
      </w:r>
      <w:r>
        <w:rPr>
          <w:rFonts w:hint="eastAsia" w:ascii="仿宋_GB2312" w:hAnsi="仿宋_GB2312" w:eastAsia="仿宋_GB2312" w:cs="仿宋_GB2312"/>
          <w:b w:val="0"/>
          <w:bCs w:val="0"/>
          <w:color w:val="auto"/>
          <w:sz w:val="32"/>
          <w:szCs w:val="32"/>
          <w:lang w:val="en-US" w:eastAsia="zh-CN"/>
        </w:rPr>
        <w:t>7日内将不可抗力情况以信函、电报、传真等书面形式通知另一方，并在不可抗力发生后15日内，向另一方提交本协议部分或全部不能履行或需要延期履行的报告及证明。</w:t>
      </w:r>
    </w:p>
    <w:p w14:paraId="14E9CCAD">
      <w:pPr>
        <w:adjustRightInd w:val="0"/>
        <w:snapToGrid w:val="0"/>
        <w:spacing w:line="600" w:lineRule="atLeast"/>
        <w:ind w:left="-197" w:leftChars="-94" w:right="-153" w:rightChars="-73" w:firstLine="601" w:firstLineChars="187"/>
        <w:rPr>
          <w:rFonts w:hint="default"/>
          <w:b/>
          <w:bCs/>
          <w:color w:val="auto"/>
          <w:lang w:val="en-US" w:eastAsia="zh-CN"/>
        </w:rPr>
      </w:pPr>
      <w:r>
        <w:rPr>
          <w:rFonts w:hint="eastAsia" w:ascii="仿宋_GB2312" w:eastAsia="仿宋_GB2312"/>
          <w:b/>
          <w:bCs/>
          <w:color w:val="auto"/>
          <w:sz w:val="32"/>
          <w:szCs w:val="32"/>
          <w:lang w:val="en-US" w:eastAsia="zh-CN"/>
        </w:rPr>
        <w:t>七、其他条款</w:t>
      </w:r>
    </w:p>
    <w:p w14:paraId="4F3D5BAC">
      <w:pPr>
        <w:adjustRightInd w:val="0"/>
        <w:snapToGrid w:val="0"/>
        <w:spacing w:line="560" w:lineRule="exact"/>
        <w:ind w:left="-178" w:leftChars="-85" w:right="-153" w:rightChars="-73" w:firstLine="640" w:firstLineChars="200"/>
        <w:rPr>
          <w:rFonts w:ascii="仿宋_GB2312" w:eastAsia="仿宋_GB2312"/>
          <w:color w:val="auto"/>
          <w:sz w:val="32"/>
          <w:szCs w:val="32"/>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一</w:t>
      </w:r>
      <w:r>
        <w:rPr>
          <w:rFonts w:hint="eastAsia" w:ascii="仿宋_GB2312" w:eastAsia="仿宋_GB2312"/>
          <w:color w:val="auto"/>
          <w:sz w:val="32"/>
          <w:szCs w:val="32"/>
          <w:lang w:eastAsia="zh-CN"/>
        </w:rPr>
        <w:t>）</w:t>
      </w:r>
      <w:r>
        <w:rPr>
          <w:rFonts w:hint="eastAsia" w:ascii="仿宋_GB2312" w:hAnsi="仿宋" w:eastAsia="仿宋_GB2312"/>
          <w:color w:val="auto"/>
          <w:sz w:val="32"/>
          <w:szCs w:val="32"/>
        </w:rPr>
        <w:t>本协议的订立、效力、解释、履行及其争议的解决等，均适用中华人民共和国法律。</w:t>
      </w:r>
      <w:r>
        <w:rPr>
          <w:rFonts w:hint="eastAsia" w:ascii="仿宋_GB2312" w:eastAsia="仿宋_GB2312"/>
          <w:color w:val="auto"/>
          <w:sz w:val="32"/>
          <w:szCs w:val="32"/>
        </w:rPr>
        <w:t>因履行本协议或</w:t>
      </w:r>
      <w:r>
        <w:rPr>
          <w:rFonts w:hint="eastAsia" w:ascii="仿宋_GB2312" w:eastAsia="仿宋_GB2312"/>
          <w:color w:val="auto"/>
          <w:sz w:val="32"/>
          <w:szCs w:val="32"/>
          <w:lang w:eastAsia="zh-CN"/>
        </w:rPr>
        <w:t>与</w:t>
      </w:r>
      <w:r>
        <w:rPr>
          <w:rFonts w:hint="eastAsia" w:ascii="仿宋_GB2312" w:eastAsia="仿宋_GB2312"/>
          <w:color w:val="auto"/>
          <w:sz w:val="32"/>
          <w:szCs w:val="32"/>
        </w:rPr>
        <w:t>本协议有关的争议，双方应协商解决</w:t>
      </w:r>
      <w:r>
        <w:rPr>
          <w:rFonts w:hint="eastAsia" w:ascii="仿宋_GB2312" w:eastAsia="仿宋_GB2312"/>
          <w:color w:val="auto"/>
          <w:sz w:val="32"/>
          <w:szCs w:val="32"/>
          <w:lang w:eastAsia="zh-CN"/>
        </w:rPr>
        <w:t>；</w:t>
      </w:r>
      <w:r>
        <w:rPr>
          <w:rFonts w:hint="eastAsia" w:ascii="仿宋_GB2312" w:eastAsia="仿宋_GB2312"/>
          <w:color w:val="auto"/>
          <w:sz w:val="32"/>
          <w:szCs w:val="32"/>
        </w:rPr>
        <w:t>协商不成的，</w:t>
      </w:r>
      <w:r>
        <w:rPr>
          <w:rFonts w:hint="eastAsia" w:ascii="仿宋_GB2312" w:hAnsi="仿宋" w:eastAsia="仿宋_GB2312"/>
          <w:color w:val="auto"/>
          <w:sz w:val="32"/>
          <w:szCs w:val="32"/>
        </w:rPr>
        <w:t>任何一方可依法向甲方所在地法院提起诉讼。</w:t>
      </w:r>
    </w:p>
    <w:p w14:paraId="41484B7B">
      <w:pPr>
        <w:adjustRightInd w:val="0"/>
        <w:snapToGrid w:val="0"/>
        <w:spacing w:line="600" w:lineRule="atLeast"/>
        <w:ind w:left="-178" w:leftChars="-85" w:right="-153" w:rightChars="-73" w:firstLine="640" w:firstLineChars="200"/>
        <w:rPr>
          <w:rFonts w:hint="eastAsia" w:ascii="仿宋_GB2312" w:eastAsia="仿宋_GB2312"/>
          <w:color w:val="auto"/>
          <w:sz w:val="32"/>
          <w:szCs w:val="32"/>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二）</w:t>
      </w:r>
      <w:r>
        <w:rPr>
          <w:rFonts w:hint="eastAsia" w:ascii="仿宋_GB2312" w:eastAsia="仿宋_GB2312"/>
          <w:color w:val="auto"/>
          <w:sz w:val="32"/>
          <w:szCs w:val="32"/>
        </w:rPr>
        <w:t>本协议未尽事宜，由双方另行协商，签订补充协议，补充协议与本协议具有同等法律效力。</w:t>
      </w:r>
    </w:p>
    <w:p w14:paraId="65255302">
      <w:pPr>
        <w:adjustRightInd w:val="0"/>
        <w:snapToGrid w:val="0"/>
        <w:spacing w:line="600" w:lineRule="atLeast"/>
        <w:ind w:left="-178" w:leftChars="-85" w:right="-153" w:rightChars="-73"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（三）</w:t>
      </w:r>
      <w:r>
        <w:rPr>
          <w:rFonts w:hint="eastAsia" w:ascii="仿宋_GB2312" w:eastAsia="仿宋_GB2312"/>
          <w:color w:val="auto"/>
          <w:sz w:val="32"/>
          <w:szCs w:val="32"/>
        </w:rPr>
        <w:t>本协议</w:t>
      </w:r>
      <w:r>
        <w:rPr>
          <w:rFonts w:hint="eastAsia" w:ascii="仿宋_GB2312" w:eastAsia="仿宋_GB2312"/>
          <w:color w:val="auto"/>
          <w:sz w:val="32"/>
          <w:szCs w:val="32"/>
          <w:lang w:eastAsia="zh-CN"/>
        </w:rPr>
        <w:t>自</w:t>
      </w:r>
      <w:r>
        <w:rPr>
          <w:rFonts w:hint="eastAsia" w:ascii="仿宋_GB2312" w:eastAsia="仿宋_GB2312"/>
          <w:color w:val="auto"/>
          <w:sz w:val="32"/>
          <w:szCs w:val="32"/>
        </w:rPr>
        <w:t>双方法定代表人或授权代表签字</w:t>
      </w:r>
      <w:r>
        <w:rPr>
          <w:rFonts w:hint="eastAsia" w:ascii="仿宋_GB2312" w:eastAsia="仿宋_GB2312"/>
          <w:color w:val="auto"/>
          <w:sz w:val="32"/>
          <w:szCs w:val="32"/>
          <w:lang w:val="en-US" w:eastAsia="zh-CN"/>
        </w:rPr>
        <w:t>并加盖公章之日起</w:t>
      </w:r>
      <w:r>
        <w:rPr>
          <w:rFonts w:hint="eastAsia" w:ascii="仿宋_GB2312" w:eastAsia="仿宋_GB2312"/>
          <w:color w:val="auto"/>
          <w:sz w:val="32"/>
          <w:szCs w:val="32"/>
        </w:rPr>
        <w:t>生效。</w:t>
      </w:r>
      <w:r>
        <w:rPr>
          <w:rFonts w:hint="eastAsia" w:ascii="仿宋_GB2312" w:eastAsia="仿宋_GB2312"/>
          <w:color w:val="auto"/>
          <w:sz w:val="32"/>
          <w:szCs w:val="32"/>
          <w:lang w:eastAsia="zh-CN"/>
        </w:rPr>
        <w:t>本协议</w:t>
      </w:r>
      <w:r>
        <w:rPr>
          <w:rFonts w:hint="eastAsia" w:ascii="仿宋_GB2312" w:eastAsia="仿宋_GB2312"/>
          <w:color w:val="auto"/>
          <w:sz w:val="32"/>
          <w:szCs w:val="32"/>
        </w:rPr>
        <w:t>一式肆份，双方各执贰份，具有同等法律效力</w:t>
      </w:r>
      <w:r>
        <w:rPr>
          <w:rFonts w:hint="eastAsia" w:ascii="仿宋_GB2312" w:eastAsia="仿宋_GB2312"/>
          <w:color w:val="auto"/>
          <w:sz w:val="32"/>
          <w:szCs w:val="32"/>
          <w:lang w:eastAsia="zh-CN"/>
        </w:rPr>
        <w:t>。</w:t>
      </w:r>
    </w:p>
    <w:p w14:paraId="1EDB3010">
      <w:pPr>
        <w:adjustRightInd w:val="0"/>
        <w:snapToGrid w:val="0"/>
        <w:spacing w:line="600" w:lineRule="atLeast"/>
        <w:ind w:left="-178" w:leftChars="-85" w:right="-153" w:rightChars="-73" w:firstLine="640" w:firstLineChars="200"/>
        <w:rPr>
          <w:rFonts w:hint="eastAsia" w:ascii="仿宋_GB2312" w:eastAsia="仿宋_GB2312"/>
          <w:color w:val="auto"/>
          <w:sz w:val="32"/>
          <w:szCs w:val="32"/>
          <w:lang w:eastAsia="zh-CN"/>
        </w:rPr>
      </w:pPr>
    </w:p>
    <w:p w14:paraId="2F15CF67">
      <w:pPr>
        <w:snapToGrid w:val="0"/>
        <w:spacing w:line="600" w:lineRule="atLeast"/>
        <w:ind w:firstLine="320" w:firstLineChars="100"/>
        <w:rPr>
          <w:rFonts w:ascii="仿宋_GB2312" w:eastAsia="仿宋_GB2312"/>
          <w:color w:val="auto"/>
          <w:sz w:val="32"/>
          <w:szCs w:val="32"/>
        </w:rPr>
      </w:pPr>
      <w:r>
        <w:rPr>
          <w:rFonts w:hint="eastAsia" w:ascii="仿宋_GB2312" w:eastAsia="仿宋_GB2312"/>
          <w:color w:val="auto"/>
          <w:sz w:val="32"/>
          <w:szCs w:val="32"/>
        </w:rPr>
        <w:t>（</w:t>
      </w:r>
      <w:r>
        <w:rPr>
          <w:rFonts w:ascii="仿宋_GB2312" w:eastAsia="仿宋_GB2312"/>
          <w:color w:val="auto"/>
          <w:sz w:val="32"/>
          <w:szCs w:val="32"/>
        </w:rPr>
        <w:t>以下</w:t>
      </w:r>
      <w:r>
        <w:rPr>
          <w:rFonts w:hint="eastAsia" w:ascii="仿宋_GB2312" w:eastAsia="仿宋_GB2312"/>
          <w:color w:val="auto"/>
          <w:sz w:val="32"/>
          <w:szCs w:val="32"/>
        </w:rPr>
        <w:t>无正文）</w:t>
      </w:r>
    </w:p>
    <w:p w14:paraId="4EC83EF4">
      <w:pPr>
        <w:snapToGrid w:val="0"/>
        <w:spacing w:line="600" w:lineRule="atLeast"/>
        <w:rPr>
          <w:rFonts w:ascii="仿宋_GB2312" w:hAnsi="仿宋" w:eastAsia="仿宋_GB2312" w:cs="仿宋_GB2312"/>
          <w:bCs/>
          <w:color w:val="auto"/>
          <w:sz w:val="32"/>
          <w:szCs w:val="32"/>
        </w:rPr>
      </w:pPr>
    </w:p>
    <w:p w14:paraId="31BDFEC4">
      <w:pPr>
        <w:snapToGrid w:val="0"/>
        <w:spacing w:line="600" w:lineRule="atLeast"/>
        <w:rPr>
          <w:rFonts w:ascii="仿宋_GB2312" w:hAnsi="仿宋" w:eastAsia="仿宋_GB2312" w:cs="仿宋_GB2312"/>
          <w:bCs/>
          <w:color w:val="auto"/>
          <w:sz w:val="32"/>
          <w:szCs w:val="32"/>
        </w:rPr>
      </w:pPr>
    </w:p>
    <w:p w14:paraId="257B0309">
      <w:pPr>
        <w:snapToGrid w:val="0"/>
        <w:spacing w:line="600" w:lineRule="atLeast"/>
        <w:rPr>
          <w:rFonts w:ascii="仿宋_GB2312" w:hAnsi="仿宋" w:eastAsia="仿宋_GB2312" w:cs="仿宋_GB2312"/>
          <w:bCs/>
          <w:color w:val="auto"/>
          <w:sz w:val="32"/>
          <w:szCs w:val="32"/>
        </w:rPr>
      </w:pPr>
    </w:p>
    <w:p w14:paraId="507D2590">
      <w:pPr>
        <w:snapToGrid w:val="0"/>
        <w:spacing w:line="600" w:lineRule="atLeast"/>
        <w:rPr>
          <w:rFonts w:ascii="仿宋_GB2312" w:hAnsi="仿宋_GB2312" w:eastAsia="仿宋_GB2312" w:cs="仿宋_GB2312"/>
          <w:bCs/>
          <w:color w:val="auto"/>
          <w:sz w:val="32"/>
          <w:szCs w:val="32"/>
        </w:rPr>
      </w:pPr>
      <w:r>
        <w:rPr>
          <w:rFonts w:hint="eastAsia" w:ascii="仿宋_GB2312" w:hAnsi="仿宋" w:eastAsia="仿宋_GB2312" w:cs="仿宋_GB2312"/>
          <w:bCs/>
          <w:color w:val="auto"/>
          <w:sz w:val="32"/>
          <w:szCs w:val="32"/>
        </w:rPr>
        <w:t>甲方</w:t>
      </w:r>
      <w:r>
        <w:rPr>
          <w:rFonts w:hint="eastAsia" w:ascii="仿宋_GB2312" w:hAnsi="仿宋_GB2312" w:eastAsia="仿宋_GB2312" w:cs="仿宋_GB2312"/>
          <w:bCs/>
          <w:color w:val="auto"/>
          <w:sz w:val="32"/>
          <w:szCs w:val="32"/>
        </w:rPr>
        <w:t>：</w:t>
      </w:r>
    </w:p>
    <w:p w14:paraId="087E6808">
      <w:pPr>
        <w:snapToGrid w:val="0"/>
        <w:spacing w:line="600" w:lineRule="atLeast"/>
        <w:rPr>
          <w:rFonts w:ascii="仿宋_GB2312" w:hAnsi="仿宋_GB2312" w:eastAsia="仿宋_GB2312" w:cs="仿宋_GB2312"/>
          <w:bCs/>
          <w:color w:val="auto"/>
          <w:sz w:val="32"/>
          <w:szCs w:val="32"/>
        </w:rPr>
      </w:pPr>
      <w:r>
        <w:rPr>
          <w:rFonts w:hint="eastAsia" w:ascii="仿宋_GB2312" w:eastAsia="仿宋_GB2312"/>
          <w:color w:val="auto"/>
          <w:sz w:val="32"/>
          <w:szCs w:val="32"/>
        </w:rPr>
        <w:t>法定代表人或授权代表</w:t>
      </w:r>
      <w:r>
        <w:rPr>
          <w:rFonts w:hint="eastAsia" w:ascii="仿宋_GB2312" w:hAnsi="仿宋_GB2312" w:eastAsia="仿宋_GB2312" w:cs="仿宋_GB2312"/>
          <w:bCs/>
          <w:color w:val="auto"/>
          <w:sz w:val="32"/>
          <w:szCs w:val="32"/>
        </w:rPr>
        <w:t>：</w:t>
      </w:r>
    </w:p>
    <w:p w14:paraId="5BACC4C9">
      <w:pPr>
        <w:snapToGrid w:val="0"/>
        <w:spacing w:line="600" w:lineRule="atLeast"/>
        <w:ind w:firstLine="790" w:firstLineChars="247"/>
        <w:rPr>
          <w:rFonts w:ascii="仿宋_GB2312" w:hAnsi="仿宋_GB2312" w:eastAsia="仿宋_GB2312" w:cs="仿宋_GB2312"/>
          <w:bCs/>
          <w:color w:val="auto"/>
          <w:sz w:val="32"/>
          <w:szCs w:val="32"/>
        </w:rPr>
      </w:pPr>
    </w:p>
    <w:p w14:paraId="3F9EC9A7">
      <w:pPr>
        <w:snapToGrid w:val="0"/>
        <w:spacing w:line="600" w:lineRule="atLeast"/>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乙方：</w:t>
      </w:r>
      <w:r>
        <w:rPr>
          <w:rFonts w:hint="eastAsia" w:ascii="仿宋_GB2312" w:hAnsi="仿宋_GB2312" w:eastAsia="仿宋_GB2312" w:cs="仿宋_GB2312"/>
          <w:color w:val="auto"/>
          <w:sz w:val="32"/>
        </w:rPr>
        <w:t xml:space="preserve"> </w:t>
      </w:r>
      <w:r>
        <w:rPr>
          <w:rFonts w:hint="eastAsia" w:ascii="仿宋_GB2312" w:hAnsi="仿宋_GB2312" w:eastAsia="仿宋_GB2312" w:cs="仿宋_GB2312"/>
          <w:bCs/>
          <w:color w:val="auto"/>
          <w:sz w:val="32"/>
          <w:szCs w:val="32"/>
        </w:rPr>
        <w:t xml:space="preserve"> </w:t>
      </w:r>
    </w:p>
    <w:p w14:paraId="14CD81CF">
      <w:pPr>
        <w:snapToGrid w:val="0"/>
        <w:spacing w:line="600" w:lineRule="atLeast"/>
        <w:rPr>
          <w:rFonts w:ascii="仿宋_GB2312" w:hAnsi="仿宋_GB2312" w:eastAsia="仿宋_GB2312" w:cs="仿宋_GB2312"/>
          <w:bCs/>
          <w:color w:val="auto"/>
          <w:sz w:val="32"/>
          <w:szCs w:val="32"/>
        </w:rPr>
      </w:pPr>
      <w:r>
        <w:rPr>
          <w:rFonts w:hint="eastAsia" w:ascii="仿宋_GB2312" w:eastAsia="仿宋_GB2312"/>
          <w:color w:val="auto"/>
          <w:sz w:val="32"/>
          <w:szCs w:val="32"/>
        </w:rPr>
        <w:t>法定代表人或授权代表</w:t>
      </w:r>
      <w:r>
        <w:rPr>
          <w:rFonts w:hint="eastAsia" w:ascii="仿宋_GB2312" w:hAnsi="仿宋_GB2312" w:eastAsia="仿宋_GB2312" w:cs="仿宋_GB2312"/>
          <w:bCs/>
          <w:color w:val="auto"/>
          <w:sz w:val="32"/>
          <w:szCs w:val="32"/>
        </w:rPr>
        <w:t>：</w:t>
      </w:r>
    </w:p>
    <w:p w14:paraId="5B093EE3">
      <w:pPr>
        <w:snapToGrid w:val="0"/>
        <w:spacing w:line="600" w:lineRule="atLeast"/>
        <w:rPr>
          <w:rFonts w:hint="eastAsia" w:ascii="仿宋_GB2312" w:hAnsi="仿宋_GB2312" w:eastAsia="仿宋_GB2312" w:cs="仿宋_GB2312"/>
          <w:bCs/>
          <w:color w:val="auto"/>
          <w:sz w:val="32"/>
          <w:szCs w:val="32"/>
        </w:rPr>
      </w:pPr>
    </w:p>
    <w:p w14:paraId="2EC55B1F">
      <w:pPr>
        <w:snapToGrid w:val="0"/>
        <w:spacing w:line="600" w:lineRule="atLeast"/>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 xml:space="preserve">                             签订日期：   年  月  日</w:t>
      </w:r>
    </w:p>
    <w:p w14:paraId="4F67AB0E">
      <w:pPr>
        <w:rPr>
          <w:color w:val="auto"/>
        </w:rPr>
      </w:pPr>
    </w:p>
    <w:sectPr>
      <w:headerReference r:id="rId3" w:type="first"/>
      <w:footerReference r:id="rId6" w:type="first"/>
      <w:footerReference r:id="rId4" w:type="default"/>
      <w:footerReference r:id="rId5" w:type="even"/>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B28E9">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2</w:t>
    </w:r>
    <w:r>
      <w:fldChar w:fldCharType="end"/>
    </w:r>
  </w:p>
  <w:p w14:paraId="06AF8DB0">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35255" cy="3257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35255" cy="325755"/>
                      </a:xfrm>
                      <a:prstGeom prst="rect">
                        <a:avLst/>
                      </a:prstGeom>
                      <a:noFill/>
                      <a:ln>
                        <a:noFill/>
                      </a:ln>
                    </wps:spPr>
                    <wps:txbx>
                      <w:txbxContent>
                        <w:p w14:paraId="53A0B3E7">
                          <w:pPr>
                            <w:snapToGrid w:val="0"/>
                            <w:rPr>
                              <w:rFonts w:hint="eastAsia"/>
                              <w:sz w:val="1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25.65pt;width:10.65pt;mso-position-horizontal:center;mso-position-horizontal-relative:margin;mso-wrap-style:none;z-index:251659264;mso-width-relative:page;mso-height-relative:page;" filled="f" stroked="f" coordsize="21600,21600" o:gfxdata="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pB2c2NEAAAADAQAADwAAAAAAAAABACAAAAAiAAAAZHJzL2Rvd25y&#10;ZXYueG1sUEsBAhQAFAAAAAgAh07iQKY7bBXMAQAAlwMAAA4AAAAAAAAAAQAgAAAAIAEAAGRycy9l&#10;Mm9Eb2MueG1sUEsFBgAAAAAGAAYAWQEAAF4FAAAAAA==&#10;">
              <v:fill on="f" focussize="0,0"/>
              <v:stroke on="f"/>
              <v:imagedata o:title=""/>
              <o:lock v:ext="edit" aspectratio="f"/>
              <v:textbox inset="0mm,0mm,0mm,0mm" style="mso-fit-shape-to-text:t;">
                <w:txbxContent>
                  <w:p w14:paraId="53A0B3E7">
                    <w:pPr>
                      <w:snapToGrid w:val="0"/>
                      <w:rPr>
                        <w:rFonts w:hint="eastAsia"/>
                        <w:sz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B7EA9">
    <w:pPr>
      <w:pStyle w:val="6"/>
      <w:framePr w:wrap="around" w:vAnchor="text" w:hAnchor="margin" w:xAlign="center" w:y="1"/>
      <w:rPr>
        <w:rStyle w:val="11"/>
      </w:rPr>
    </w:pPr>
    <w:r>
      <w:fldChar w:fldCharType="begin"/>
    </w:r>
    <w:r>
      <w:rPr>
        <w:rStyle w:val="11"/>
      </w:rPr>
      <w:instrText xml:space="preserve">PAGE  </w:instrText>
    </w:r>
    <w:r>
      <w:fldChar w:fldCharType="separate"/>
    </w:r>
    <w:r>
      <w:fldChar w:fldCharType="end"/>
    </w:r>
  </w:p>
  <w:p w14:paraId="3C6F0A7D">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26141">
    <w:pPr>
      <w:pStyle w:val="6"/>
      <w:jc w:val="center"/>
    </w:pPr>
    <w:r>
      <w:rPr>
        <w:rFonts w:hint="eastAsia"/>
      </w:rPr>
      <w:t>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0303D">
    <w:pPr>
      <w:pStyle w:val="7"/>
      <w:pBdr>
        <w:top w:val="none" w:color="auto" w:sz="0" w:space="0"/>
      </w:pBdr>
      <w:jc w:val="right"/>
      <w:rPr>
        <w:rFonts w:eastAsia="黑体"/>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1A6254"/>
    <w:multiLevelType w:val="multilevel"/>
    <w:tmpl w:val="0C1A6254"/>
    <w:lvl w:ilvl="0" w:tentative="0">
      <w:start w:val="1"/>
      <w:numFmt w:val="chineseCountingThousand"/>
      <w:suff w:val="space"/>
      <w:lvlText w:val="第%1章"/>
      <w:lvlJc w:val="left"/>
      <w:pPr>
        <w:ind w:left="1530" w:hanging="1530"/>
      </w:pPr>
      <w:rPr>
        <w:rFonts w:hint="default"/>
        <w:lang w:val="en-US"/>
      </w:rPr>
    </w:lvl>
    <w:lvl w:ilvl="1" w:tentative="0">
      <w:start w:val="1"/>
      <w:numFmt w:val="chineseCountingThousand"/>
      <w:pStyle w:val="4"/>
      <w:suff w:val="space"/>
      <w:lvlText w:val="第%2节"/>
      <w:lvlJc w:val="left"/>
      <w:pPr>
        <w:ind w:left="1500" w:hanging="1080"/>
      </w:pPr>
      <w:rPr>
        <w:rFonts w:hint="default"/>
      </w:rPr>
    </w:lvl>
    <w:lvl w:ilvl="2" w:tentative="0">
      <w:start w:val="1"/>
      <w:numFmt w:val="decimal"/>
      <w:pStyle w:val="3"/>
      <w:suff w:val="space"/>
      <w:lvlText w:val="%3"/>
      <w:lvlJc w:val="left"/>
      <w:pPr>
        <w:ind w:left="1560" w:hanging="720"/>
      </w:pPr>
      <w:rPr>
        <w:rFonts w:hint="default"/>
      </w:rPr>
    </w:lvl>
    <w:lvl w:ilvl="3" w:tentative="0">
      <w:start w:val="1"/>
      <w:numFmt w:val="decimal"/>
      <w:pStyle w:val="2"/>
      <w:suff w:val="space"/>
      <w:lvlText w:val="%3.%4"/>
      <w:lvlJc w:val="left"/>
      <w:pPr>
        <w:ind w:left="1680" w:hanging="420"/>
      </w:pPr>
      <w:rPr>
        <w:rFonts w:hint="eastAsia"/>
      </w:rPr>
    </w:lvl>
    <w:lvl w:ilvl="4" w:tentative="0">
      <w:start w:val="1"/>
      <w:numFmt w:val="decimal"/>
      <w:suff w:val="space"/>
      <w:lvlText w:val="%3.%4.%5"/>
      <w:lvlJc w:val="left"/>
      <w:pPr>
        <w:ind w:left="2400" w:hanging="720"/>
      </w:pPr>
      <w:rPr>
        <w:rFonts w:hint="default"/>
      </w:rPr>
    </w:lvl>
    <w:lvl w:ilvl="5" w:tentative="0">
      <w:start w:val="1"/>
      <w:numFmt w:val="decimal"/>
      <w:suff w:val="space"/>
      <w:lvlText w:val="%3.%4.%5.%6"/>
      <w:lvlJc w:val="left"/>
      <w:pPr>
        <w:ind w:left="2460" w:hanging="360"/>
      </w:pPr>
      <w:rPr>
        <w:rFonts w:hint="default"/>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dit="trackedChange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3MTkxMWQ5YzFlZjA5OTc0M2UwYjdhNTdiM2ZiNTcifQ=="/>
  </w:docVars>
  <w:rsids>
    <w:rsidRoot w:val="6B4E251B"/>
    <w:rsid w:val="00C248EA"/>
    <w:rsid w:val="01A731C3"/>
    <w:rsid w:val="028D1F8D"/>
    <w:rsid w:val="02D019F8"/>
    <w:rsid w:val="04097781"/>
    <w:rsid w:val="046F3869"/>
    <w:rsid w:val="049D365A"/>
    <w:rsid w:val="04DC00BF"/>
    <w:rsid w:val="06185C88"/>
    <w:rsid w:val="06996077"/>
    <w:rsid w:val="07141A7F"/>
    <w:rsid w:val="07815D59"/>
    <w:rsid w:val="07900DAA"/>
    <w:rsid w:val="07BE5B1A"/>
    <w:rsid w:val="08314303"/>
    <w:rsid w:val="085B379F"/>
    <w:rsid w:val="0900047A"/>
    <w:rsid w:val="09804372"/>
    <w:rsid w:val="09CB6AD5"/>
    <w:rsid w:val="0A14724A"/>
    <w:rsid w:val="0A701F7E"/>
    <w:rsid w:val="0BBF5BDB"/>
    <w:rsid w:val="0C931DFE"/>
    <w:rsid w:val="0DD16AC3"/>
    <w:rsid w:val="0EBD27F6"/>
    <w:rsid w:val="0EC816B9"/>
    <w:rsid w:val="0F033C95"/>
    <w:rsid w:val="0F073E4C"/>
    <w:rsid w:val="0F1D467B"/>
    <w:rsid w:val="0FE631B9"/>
    <w:rsid w:val="103E4252"/>
    <w:rsid w:val="10422EE0"/>
    <w:rsid w:val="10FB558F"/>
    <w:rsid w:val="115110C8"/>
    <w:rsid w:val="11692E43"/>
    <w:rsid w:val="11B96F30"/>
    <w:rsid w:val="12073C98"/>
    <w:rsid w:val="1213289A"/>
    <w:rsid w:val="12C84CE6"/>
    <w:rsid w:val="12D9053E"/>
    <w:rsid w:val="13016BE2"/>
    <w:rsid w:val="13901395"/>
    <w:rsid w:val="13B76C3E"/>
    <w:rsid w:val="13C47418"/>
    <w:rsid w:val="14F67E0B"/>
    <w:rsid w:val="158D10F8"/>
    <w:rsid w:val="15B55B7D"/>
    <w:rsid w:val="16222DFA"/>
    <w:rsid w:val="176D5D55"/>
    <w:rsid w:val="182D6AAB"/>
    <w:rsid w:val="184A0A6E"/>
    <w:rsid w:val="18557447"/>
    <w:rsid w:val="19B3108E"/>
    <w:rsid w:val="1A364857"/>
    <w:rsid w:val="1A877E02"/>
    <w:rsid w:val="1A9016FF"/>
    <w:rsid w:val="1AD36C7F"/>
    <w:rsid w:val="1AFD6D14"/>
    <w:rsid w:val="1AFE202D"/>
    <w:rsid w:val="1B141909"/>
    <w:rsid w:val="1B921F16"/>
    <w:rsid w:val="1BCD67EC"/>
    <w:rsid w:val="1C8818A0"/>
    <w:rsid w:val="1C8E5F7E"/>
    <w:rsid w:val="1CB519E0"/>
    <w:rsid w:val="1CC3569E"/>
    <w:rsid w:val="1CCF1A1E"/>
    <w:rsid w:val="1CEB026D"/>
    <w:rsid w:val="1E57597E"/>
    <w:rsid w:val="1EEC0003"/>
    <w:rsid w:val="1F023644"/>
    <w:rsid w:val="1F1534DE"/>
    <w:rsid w:val="1FCE7488"/>
    <w:rsid w:val="1FD63773"/>
    <w:rsid w:val="200F21EA"/>
    <w:rsid w:val="20532C26"/>
    <w:rsid w:val="21A0785D"/>
    <w:rsid w:val="22153193"/>
    <w:rsid w:val="223502E5"/>
    <w:rsid w:val="227D1626"/>
    <w:rsid w:val="229C4948"/>
    <w:rsid w:val="22B71159"/>
    <w:rsid w:val="234952D8"/>
    <w:rsid w:val="237A2559"/>
    <w:rsid w:val="23825D4C"/>
    <w:rsid w:val="24365919"/>
    <w:rsid w:val="243A0F68"/>
    <w:rsid w:val="252C12A6"/>
    <w:rsid w:val="25495812"/>
    <w:rsid w:val="2667377C"/>
    <w:rsid w:val="269D0178"/>
    <w:rsid w:val="269F37B8"/>
    <w:rsid w:val="276619EB"/>
    <w:rsid w:val="28337799"/>
    <w:rsid w:val="286C7DC8"/>
    <w:rsid w:val="28B77C6F"/>
    <w:rsid w:val="28D4483D"/>
    <w:rsid w:val="2974070E"/>
    <w:rsid w:val="298A4DF2"/>
    <w:rsid w:val="29963779"/>
    <w:rsid w:val="2A0B015B"/>
    <w:rsid w:val="2A4633BC"/>
    <w:rsid w:val="2AB87717"/>
    <w:rsid w:val="2B4B1E7D"/>
    <w:rsid w:val="2BB17842"/>
    <w:rsid w:val="2C030FD3"/>
    <w:rsid w:val="2C812BDF"/>
    <w:rsid w:val="2E07789B"/>
    <w:rsid w:val="2E0A3F2F"/>
    <w:rsid w:val="2E495E85"/>
    <w:rsid w:val="2E722E25"/>
    <w:rsid w:val="2E976B8C"/>
    <w:rsid w:val="2F710BC6"/>
    <w:rsid w:val="2FC95362"/>
    <w:rsid w:val="2FF31C46"/>
    <w:rsid w:val="30D86165"/>
    <w:rsid w:val="30DC2B4C"/>
    <w:rsid w:val="31056983"/>
    <w:rsid w:val="31F207A7"/>
    <w:rsid w:val="32244B42"/>
    <w:rsid w:val="324D28B2"/>
    <w:rsid w:val="334021E7"/>
    <w:rsid w:val="338B234A"/>
    <w:rsid w:val="339E1F6C"/>
    <w:rsid w:val="33A71AE7"/>
    <w:rsid w:val="343E5895"/>
    <w:rsid w:val="35CF4106"/>
    <w:rsid w:val="35D064D0"/>
    <w:rsid w:val="35D964A6"/>
    <w:rsid w:val="36550386"/>
    <w:rsid w:val="37265BDD"/>
    <w:rsid w:val="37377B2E"/>
    <w:rsid w:val="37B76B13"/>
    <w:rsid w:val="383035B7"/>
    <w:rsid w:val="38F4669B"/>
    <w:rsid w:val="39807144"/>
    <w:rsid w:val="3A10576F"/>
    <w:rsid w:val="3A233B90"/>
    <w:rsid w:val="3A317B52"/>
    <w:rsid w:val="3AB43181"/>
    <w:rsid w:val="3B204FBA"/>
    <w:rsid w:val="3CDC1EE8"/>
    <w:rsid w:val="3D161ABA"/>
    <w:rsid w:val="3D4B5517"/>
    <w:rsid w:val="3E320D89"/>
    <w:rsid w:val="3EF43BA1"/>
    <w:rsid w:val="3F1402B7"/>
    <w:rsid w:val="3F72515E"/>
    <w:rsid w:val="3FEA526A"/>
    <w:rsid w:val="40D26909"/>
    <w:rsid w:val="416E6BB3"/>
    <w:rsid w:val="420A7C04"/>
    <w:rsid w:val="42776112"/>
    <w:rsid w:val="429B1DA2"/>
    <w:rsid w:val="42D86B55"/>
    <w:rsid w:val="43003BB7"/>
    <w:rsid w:val="431A7CF4"/>
    <w:rsid w:val="44071C28"/>
    <w:rsid w:val="44BF7269"/>
    <w:rsid w:val="44E22D06"/>
    <w:rsid w:val="454A473A"/>
    <w:rsid w:val="45CA2A8F"/>
    <w:rsid w:val="45D94BF5"/>
    <w:rsid w:val="46175E08"/>
    <w:rsid w:val="462C2765"/>
    <w:rsid w:val="4732739E"/>
    <w:rsid w:val="473B2959"/>
    <w:rsid w:val="47B37E9F"/>
    <w:rsid w:val="47BB4D68"/>
    <w:rsid w:val="47EE0E61"/>
    <w:rsid w:val="48F90636"/>
    <w:rsid w:val="490C4E58"/>
    <w:rsid w:val="49A70A31"/>
    <w:rsid w:val="4A371240"/>
    <w:rsid w:val="4A4E7404"/>
    <w:rsid w:val="4A801853"/>
    <w:rsid w:val="4AAE3E69"/>
    <w:rsid w:val="4AB50DD7"/>
    <w:rsid w:val="4AD16D6D"/>
    <w:rsid w:val="4B9D3A94"/>
    <w:rsid w:val="4BFD53A1"/>
    <w:rsid w:val="4C5B0F7D"/>
    <w:rsid w:val="4CAD16D4"/>
    <w:rsid w:val="4CF94D77"/>
    <w:rsid w:val="4D2335B4"/>
    <w:rsid w:val="4D7B2B30"/>
    <w:rsid w:val="4D846763"/>
    <w:rsid w:val="4D972FEB"/>
    <w:rsid w:val="4DBF5A20"/>
    <w:rsid w:val="4DD612C0"/>
    <w:rsid w:val="4E6817BE"/>
    <w:rsid w:val="4E816E07"/>
    <w:rsid w:val="4EF54EFE"/>
    <w:rsid w:val="4F024EE8"/>
    <w:rsid w:val="4F995841"/>
    <w:rsid w:val="501052B6"/>
    <w:rsid w:val="50111790"/>
    <w:rsid w:val="50C61A83"/>
    <w:rsid w:val="51965A15"/>
    <w:rsid w:val="51AD729E"/>
    <w:rsid w:val="52F55A85"/>
    <w:rsid w:val="540756D3"/>
    <w:rsid w:val="540B3BFF"/>
    <w:rsid w:val="5496745E"/>
    <w:rsid w:val="54CF26D0"/>
    <w:rsid w:val="55312D02"/>
    <w:rsid w:val="554031C1"/>
    <w:rsid w:val="5545219F"/>
    <w:rsid w:val="554D11B1"/>
    <w:rsid w:val="55EE656B"/>
    <w:rsid w:val="56590F72"/>
    <w:rsid w:val="56F41EBD"/>
    <w:rsid w:val="570E4B3C"/>
    <w:rsid w:val="57857C72"/>
    <w:rsid w:val="57B621E9"/>
    <w:rsid w:val="58235E75"/>
    <w:rsid w:val="583614A2"/>
    <w:rsid w:val="588209B4"/>
    <w:rsid w:val="58F032A3"/>
    <w:rsid w:val="59661854"/>
    <w:rsid w:val="5AFA7A99"/>
    <w:rsid w:val="5B2E5CDD"/>
    <w:rsid w:val="5B3650CB"/>
    <w:rsid w:val="5B3F7532"/>
    <w:rsid w:val="5BB23F66"/>
    <w:rsid w:val="5D445FEF"/>
    <w:rsid w:val="5E567538"/>
    <w:rsid w:val="5E703E05"/>
    <w:rsid w:val="5F2B0D34"/>
    <w:rsid w:val="607060D8"/>
    <w:rsid w:val="609B0E4A"/>
    <w:rsid w:val="60EA4E93"/>
    <w:rsid w:val="6101242E"/>
    <w:rsid w:val="614B7367"/>
    <w:rsid w:val="61AF552A"/>
    <w:rsid w:val="61BF67AC"/>
    <w:rsid w:val="61E1522A"/>
    <w:rsid w:val="62E41092"/>
    <w:rsid w:val="62E7172B"/>
    <w:rsid w:val="645667E8"/>
    <w:rsid w:val="65174E9F"/>
    <w:rsid w:val="65E051A8"/>
    <w:rsid w:val="66261EE0"/>
    <w:rsid w:val="6651293A"/>
    <w:rsid w:val="67571D08"/>
    <w:rsid w:val="681261A8"/>
    <w:rsid w:val="68306BE0"/>
    <w:rsid w:val="69061CCC"/>
    <w:rsid w:val="69E17375"/>
    <w:rsid w:val="6A025881"/>
    <w:rsid w:val="6A220324"/>
    <w:rsid w:val="6B4E251B"/>
    <w:rsid w:val="6B6428C2"/>
    <w:rsid w:val="6BA53265"/>
    <w:rsid w:val="6BE91365"/>
    <w:rsid w:val="6C44515F"/>
    <w:rsid w:val="6C5A045A"/>
    <w:rsid w:val="6CCE5AB0"/>
    <w:rsid w:val="6CF81AB6"/>
    <w:rsid w:val="6D074E53"/>
    <w:rsid w:val="6D352990"/>
    <w:rsid w:val="6D6262BA"/>
    <w:rsid w:val="6ECF4907"/>
    <w:rsid w:val="6F520FC0"/>
    <w:rsid w:val="6F7436EA"/>
    <w:rsid w:val="6FBE2782"/>
    <w:rsid w:val="70130776"/>
    <w:rsid w:val="7042127A"/>
    <w:rsid w:val="71124F35"/>
    <w:rsid w:val="71B467FB"/>
    <w:rsid w:val="7210126C"/>
    <w:rsid w:val="721F1073"/>
    <w:rsid w:val="722A16A6"/>
    <w:rsid w:val="72C709F5"/>
    <w:rsid w:val="72FA2B18"/>
    <w:rsid w:val="738713B7"/>
    <w:rsid w:val="739B68C7"/>
    <w:rsid w:val="73B510ED"/>
    <w:rsid w:val="748A3C51"/>
    <w:rsid w:val="74936301"/>
    <w:rsid w:val="74F329BC"/>
    <w:rsid w:val="75714702"/>
    <w:rsid w:val="75FA69EB"/>
    <w:rsid w:val="7687045F"/>
    <w:rsid w:val="76DA230E"/>
    <w:rsid w:val="77747281"/>
    <w:rsid w:val="77DF2BF1"/>
    <w:rsid w:val="77E51F5A"/>
    <w:rsid w:val="783C1039"/>
    <w:rsid w:val="7A752CEE"/>
    <w:rsid w:val="7A8D2EC7"/>
    <w:rsid w:val="7AE95911"/>
    <w:rsid w:val="7CF977A5"/>
    <w:rsid w:val="7E720456"/>
    <w:rsid w:val="7E7830D6"/>
    <w:rsid w:val="7EDB4B4D"/>
    <w:rsid w:val="7F293A90"/>
    <w:rsid w:val="7F4478D1"/>
    <w:rsid w:val="7F5849FB"/>
    <w:rsid w:val="7F7B11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附录二级条标题 Char"/>
    <w:basedOn w:val="3"/>
    <w:next w:val="1"/>
    <w:qFormat/>
    <w:uiPriority w:val="0"/>
    <w:pPr>
      <w:numPr>
        <w:ilvl w:val="3"/>
      </w:numPr>
      <w:outlineLvl w:val="3"/>
    </w:pPr>
  </w:style>
  <w:style w:type="paragraph" w:customStyle="1" w:styleId="3">
    <w:name w:val="附录一级条标题 Char"/>
    <w:basedOn w:val="4"/>
    <w:next w:val="1"/>
    <w:qFormat/>
    <w:uiPriority w:val="0"/>
    <w:pPr>
      <w:numPr>
        <w:ilvl w:val="2"/>
      </w:numPr>
      <w:autoSpaceDN w:val="0"/>
      <w:spacing w:beforeLines="0" w:afterLines="0"/>
      <w:outlineLvl w:val="2"/>
    </w:pPr>
  </w:style>
  <w:style w:type="paragraph" w:customStyle="1" w:styleId="4">
    <w:name w:val="附录章标题 Char"/>
    <w:next w:val="1"/>
    <w:qFormat/>
    <w:uiPriority w:val="0"/>
    <w:pPr>
      <w:numPr>
        <w:ilvl w:val="1"/>
        <w:numId w:val="1"/>
      </w:num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1">
    <w:name w:val="page number"/>
    <w:basedOn w:val="10"/>
    <w:qFormat/>
    <w:uiPriority w:val="0"/>
  </w:style>
  <w:style w:type="character" w:styleId="12">
    <w:name w:val="FollowedHyperlink"/>
    <w:basedOn w:val="10"/>
    <w:qFormat/>
    <w:uiPriority w:val="0"/>
    <w:rPr>
      <w:color w:val="000000"/>
      <w:u w:val="single"/>
    </w:rPr>
  </w:style>
  <w:style w:type="character" w:styleId="13">
    <w:name w:val="Hyperlink"/>
    <w:basedOn w:val="10"/>
    <w:qFormat/>
    <w:uiPriority w:val="0"/>
    <w:rPr>
      <w:color w:val="000000"/>
      <w:u w:val="single"/>
    </w:rPr>
  </w:style>
  <w:style w:type="character" w:styleId="14">
    <w:name w:val="HTML Code"/>
    <w:basedOn w:val="10"/>
    <w:qFormat/>
    <w:uiPriority w:val="0"/>
    <w:rPr>
      <w:rFonts w:ascii="Courier New" w:hAnsi="Courier New"/>
      <w:sz w:val="20"/>
    </w:rPr>
  </w:style>
  <w:style w:type="character" w:customStyle="1" w:styleId="15">
    <w:name w:val="active2"/>
    <w:basedOn w:val="10"/>
    <w:qFormat/>
    <w:uiPriority w:val="0"/>
    <w:rPr>
      <w:color w:val="333333"/>
    </w:rPr>
  </w:style>
  <w:style w:type="character" w:customStyle="1" w:styleId="16">
    <w:name w:val="active"/>
    <w:basedOn w:val="10"/>
    <w:qFormat/>
    <w:uiPriority w:val="0"/>
    <w:rPr>
      <w:color w:val="333333"/>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2044</Words>
  <Characters>2214</Characters>
  <Lines>0</Lines>
  <Paragraphs>0</Paragraphs>
  <TotalTime>6</TotalTime>
  <ScaleCrop>false</ScaleCrop>
  <LinksUpToDate>false</LinksUpToDate>
  <CharactersWithSpaces>2342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2020-07-02T07:31:00Z</dcterms:created>
  <dc:creator>lcl</dc:creator>
  <cp:lastModifiedBy>admin</cp:lastModifiedBy>
  <dcterms:modified xsi:type="dcterms:W3CDTF">2025-10-21T02:16:42Z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38E78821D98E4645AA7A9E0FD17DBF09</vt:lpwstr>
  </property>
  <property fmtid="{D5CDD505-2E9C-101B-9397-08002B2CF9AE}" pid="4" name="KSOTemplateDocerSaveRecord">
    <vt:lpwstr>eyJoZGlkIjoiMjVkZDU0OTJhYThmNDRmMTI1YmQxNzU3OWEzZmM5MmQiLCJ1c2VySWQiOiIzMzA4Mzg1NTIifQ==</vt:lpwstr>
  </property>
</Properties>
</file>