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F35EA">
      <w:pPr>
        <w:widowControl/>
        <w:shd w:val="clear" w:color="auto" w:fill="FFFFFF"/>
        <w:spacing w:before="289" w:beforeLines="50" w:after="289" w:afterLines="50" w:line="580" w:lineRule="exact"/>
        <w:jc w:val="center"/>
        <w:rPr>
          <w:rFonts w:hint="default" w:ascii="Times New Roman" w:hAnsi="Times New Roman" w:eastAsia="方正小标宋简体" w:cs="Times New Roman"/>
          <w:color w:val="000000"/>
          <w:spacing w:val="-6"/>
          <w:kern w:val="0"/>
          <w:sz w:val="40"/>
          <w:szCs w:val="40"/>
          <w:shd w:val="clear" w:color="auto" w:fill="FFFFFF"/>
          <w:lang w:bidi="ar"/>
        </w:rPr>
      </w:pPr>
    </w:p>
    <w:p w14:paraId="70534904">
      <w:pPr>
        <w:widowControl/>
        <w:shd w:val="clear" w:color="auto" w:fill="FFFFFF"/>
        <w:spacing w:before="289" w:beforeLines="50" w:after="289" w:afterLines="50" w:line="580" w:lineRule="exact"/>
        <w:jc w:val="center"/>
        <w:rPr>
          <w:rFonts w:hint="default" w:ascii="Times New Roman" w:hAnsi="Times New Roman" w:eastAsia="方正小标宋简体" w:cs="Times New Roman"/>
          <w:color w:val="000000"/>
          <w:spacing w:val="-6"/>
          <w:kern w:val="0"/>
          <w:sz w:val="40"/>
          <w:szCs w:val="40"/>
          <w:shd w:val="clear" w:color="auto" w:fill="FFFFFF"/>
          <w:lang w:bidi="ar"/>
        </w:rPr>
      </w:pPr>
    </w:p>
    <w:p w14:paraId="2AF48980">
      <w:pPr>
        <w:widowControl/>
        <w:shd w:val="clear" w:color="auto" w:fill="FFFFFF"/>
        <w:spacing w:before="289" w:beforeLines="50" w:after="289" w:afterLines="50"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关于广州市花都区</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default" w:ascii="Times New Roman" w:hAnsi="Times New Roman" w:eastAsia="方正小标宋_GBK" w:cs="Times New Roman"/>
          <w:sz w:val="44"/>
          <w:szCs w:val="44"/>
        </w:rPr>
        <w:t>年度第</w:t>
      </w:r>
      <w:r>
        <w:rPr>
          <w:rFonts w:hint="default" w:ascii="Times New Roman" w:hAnsi="Times New Roman" w:eastAsia="方正小标宋_GBK" w:cs="Times New Roman"/>
          <w:sz w:val="44"/>
          <w:szCs w:val="44"/>
          <w:lang w:val="en-US" w:eastAsia="zh-CN"/>
        </w:rPr>
        <w:t>一百一十六</w:t>
      </w:r>
      <w:r>
        <w:rPr>
          <w:rFonts w:hint="default" w:ascii="Times New Roman" w:hAnsi="Times New Roman" w:eastAsia="方正小标宋_GBK" w:cs="Times New Roman"/>
          <w:sz w:val="44"/>
          <w:szCs w:val="44"/>
        </w:rPr>
        <w:t>批次城镇建设用地</w:t>
      </w:r>
      <w:r>
        <w:rPr>
          <w:rFonts w:hint="default" w:ascii="Times New Roman" w:hAnsi="Times New Roman" w:eastAsia="方正小标宋_GBK" w:cs="Times New Roman"/>
          <w:sz w:val="44"/>
          <w:szCs w:val="44"/>
          <w:lang w:eastAsia="zh-CN"/>
        </w:rPr>
        <w:t>（景天路（建设北路-曙光路）工程）</w:t>
      </w:r>
      <w:r>
        <w:rPr>
          <w:rFonts w:hint="default" w:ascii="Times New Roman" w:hAnsi="Times New Roman" w:eastAsia="方正小标宋_GBK" w:cs="Times New Roman"/>
          <w:sz w:val="44"/>
          <w:szCs w:val="44"/>
        </w:rPr>
        <w:t>的征地补偿安置方案</w:t>
      </w:r>
    </w:p>
    <w:p w14:paraId="7D14F4F4">
      <w:pPr>
        <w:rPr>
          <w:rFonts w:hint="default" w:ascii="Times New Roman" w:hAnsi="Times New Roman" w:cs="Times New Roman"/>
        </w:rPr>
      </w:pPr>
    </w:p>
    <w:p w14:paraId="787A6F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为实施广州市花都区花城街建设规划，完善城市功能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改善城市环境，促进经济、文化发展，广州市花都区人民政府拟征收广州市花都区</w:t>
      </w:r>
      <w:r>
        <w:rPr>
          <w:rFonts w:hint="default" w:ascii="Times New Roman" w:hAnsi="Times New Roman" w:eastAsia="仿宋_GB2312" w:cs="Times New Roman"/>
          <w:sz w:val="32"/>
          <w:szCs w:val="32"/>
          <w:lang w:val="en-US" w:eastAsia="zh-CN"/>
        </w:rPr>
        <w:t>花城街</w:t>
      </w:r>
      <w:r>
        <w:rPr>
          <w:rFonts w:hint="default" w:ascii="Times New Roman" w:hAnsi="Times New Roman" w:eastAsia="仿宋_GB2312" w:cs="Times New Roman"/>
          <w:sz w:val="32"/>
          <w:szCs w:val="32"/>
        </w:rPr>
        <w:t>三东村三辄第二经济合作社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三东村三辄第二经济合作社、三东村三辄第一经济合作社（共有）</w:t>
      </w:r>
      <w:r>
        <w:rPr>
          <w:rFonts w:hint="eastAsia" w:ascii="Times New Roman" w:hAnsi="Times New Roman" w:eastAsia="仿宋_GB2312" w:cs="Times New Roman"/>
          <w:sz w:val="32"/>
          <w:szCs w:val="32"/>
          <w:lang w:val="en-US" w:eastAsia="zh-CN"/>
        </w:rPr>
        <w:t>；花城街</w:t>
      </w:r>
      <w:r>
        <w:rPr>
          <w:rFonts w:hint="default" w:ascii="Times New Roman" w:hAnsi="Times New Roman" w:eastAsia="仿宋_GB2312" w:cs="Times New Roman"/>
          <w:sz w:val="32"/>
          <w:szCs w:val="32"/>
        </w:rPr>
        <w:t>石岗村经济联合社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石岗村东仁二经济合作社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石岗村蟠龙经济合作社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石岗村西荣一经济合作社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石岗村西荣二经济合作社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石岗村西荣三经济合作社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石岗村下谭经济合作社属</w:t>
      </w:r>
      <w:r>
        <w:rPr>
          <w:rFonts w:hint="default" w:ascii="Times New Roman" w:hAnsi="Times New Roman" w:eastAsia="仿宋_GB2312" w:cs="Times New Roman"/>
          <w:sz w:val="32"/>
          <w:szCs w:val="32"/>
        </w:rPr>
        <w:t>下的集体土地</w:t>
      </w:r>
      <w:r>
        <w:rPr>
          <w:rFonts w:hint="default" w:ascii="Times New Roman" w:hAnsi="Times New Roman" w:eastAsia="仿宋_GB2312" w:cs="Times New Roman"/>
          <w:sz w:val="32"/>
          <w:szCs w:val="32"/>
          <w:lang w:val="en-US" w:eastAsia="zh-CN"/>
        </w:rPr>
        <w:t>1.8670</w:t>
      </w:r>
      <w:r>
        <w:rPr>
          <w:rFonts w:hint="default" w:ascii="Times New Roman" w:hAnsi="Times New Roman" w:eastAsia="仿宋_GB2312" w:cs="Times New Roman"/>
          <w:sz w:val="32"/>
          <w:szCs w:val="32"/>
        </w:rPr>
        <w:t>公顷。根据《中华人民共和国土地管理法》第二条、第四十五条、第四十七条，《中华人民共和国土地管理法实施条例》第二十七条、第二十八条，以及《广东省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sz w:val="32"/>
          <w:szCs w:val="32"/>
          <w:lang w:val="en-US" w:eastAsia="zh-CN"/>
        </w:rPr>
        <w:t>土</w:t>
      </w:r>
      <w:r>
        <w:rPr>
          <w:rFonts w:hint="default" w:ascii="Times New Roman" w:hAnsi="Times New Roman" w:eastAsia="仿宋_GB2312" w:cs="Times New Roman"/>
          <w:sz w:val="32"/>
          <w:szCs w:val="32"/>
        </w:rPr>
        <w:t>地管理条例》第三十条等规定，结合花都区的征收农用地区片综合地价和实际情况，拟定了征地补偿安置方案，具体如下</w:t>
      </w:r>
      <w:r>
        <w:rPr>
          <w:rFonts w:hint="eastAsia" w:ascii="Times New Roman" w:hAnsi="Times New Roman" w:eastAsia="仿宋_GB2312" w:cs="Times New Roman"/>
          <w:sz w:val="32"/>
          <w:szCs w:val="32"/>
          <w:lang w:eastAsia="zh-CN"/>
        </w:rPr>
        <w:t>：</w:t>
      </w:r>
    </w:p>
    <w:p w14:paraId="38863A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征收范围</w:t>
      </w:r>
    </w:p>
    <w:p w14:paraId="6E0CD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z w:val="32"/>
          <w:szCs w:val="32"/>
          <w:lang w:val="en-US" w:eastAsia="zh-CN"/>
        </w:rPr>
        <w:t>花城街</w:t>
      </w:r>
      <w:r>
        <w:rPr>
          <w:rFonts w:hint="default" w:ascii="Times New Roman" w:hAnsi="Times New Roman" w:eastAsia="仿宋_GB2312" w:cs="Times New Roman"/>
          <w:sz w:val="32"/>
          <w:szCs w:val="32"/>
        </w:rPr>
        <w:t>三东村三辄第二经济合作社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三东村三辄第二经济合作社、三东村三辄第一经济合作社（共有），</w:t>
      </w:r>
      <w:r>
        <w:rPr>
          <w:rFonts w:hint="default" w:ascii="Times New Roman" w:hAnsi="Times New Roman" w:eastAsia="仿宋_GB2312" w:cs="Times New Roman"/>
          <w:sz w:val="32"/>
          <w:szCs w:val="32"/>
        </w:rPr>
        <w:t>石岗村经济联合社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石岗村东仁二经济合作社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石岗村蟠龙经济合作社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石岗村西荣一经济合作社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石岗村西荣二经济合作社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石岗村西荣三经济合作社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石岗村下谭经济合作社范围内</w:t>
      </w:r>
      <w:r>
        <w:rPr>
          <w:rFonts w:hint="eastAsia" w:ascii="Times New Roman" w:hAnsi="Times New Roman" w:eastAsia="仿宋_GB2312" w:cs="Times New Roman"/>
          <w:sz w:val="32"/>
          <w:szCs w:val="32"/>
          <w:lang w:eastAsia="zh-CN"/>
        </w:rPr>
        <w:t>。</w:t>
      </w:r>
    </w:p>
    <w:p w14:paraId="674412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0F68B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0D358C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根据《中华人民共和国土地管理法》第四十五条的规定，本次征收土地目的为由政府组织实施的能源、交通、水利、通信、邮政等基础设施建设需要用地。</w:t>
      </w:r>
    </w:p>
    <w:p w14:paraId="3F887E99">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kern w:val="2"/>
          <w:sz w:val="32"/>
          <w:szCs w:val="32"/>
          <w:highlight w:val="none"/>
          <w:lang w:val="en-US" w:eastAsia="zh-CN" w:bidi="ar-SA"/>
        </w:rPr>
        <w:t>、</w:t>
      </w:r>
      <w:r>
        <w:rPr>
          <w:rFonts w:hint="default" w:ascii="Times New Roman" w:hAnsi="Times New Roman" w:eastAsia="黑体" w:cs="Times New Roman"/>
          <w:sz w:val="32"/>
          <w:szCs w:val="32"/>
          <w:highlight w:val="none"/>
        </w:rPr>
        <w:t>土地现状</w:t>
      </w:r>
    </w:p>
    <w:p w14:paraId="657D79C7">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eastAsia" w:ascii="Times New Roman" w:hAnsi="Times New Roman" w:eastAsia="仿宋_GB2312" w:cs="Times New Roman"/>
          <w:sz w:val="32"/>
          <w:szCs w:val="32"/>
          <w:lang w:eastAsia="zh-CN"/>
        </w:rPr>
        <w:t>：</w:t>
      </w:r>
    </w:p>
    <w:p w14:paraId="388592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拟征收广州市花都区</w:t>
      </w:r>
      <w:r>
        <w:rPr>
          <w:rFonts w:hint="default" w:ascii="Times New Roman" w:hAnsi="Times New Roman" w:eastAsia="仿宋_GB2312" w:cs="Times New Roman"/>
          <w:sz w:val="32"/>
          <w:szCs w:val="32"/>
          <w:lang w:val="en-US" w:eastAsia="zh-CN"/>
        </w:rPr>
        <w:t>花城街</w:t>
      </w:r>
      <w:r>
        <w:rPr>
          <w:rFonts w:hint="default" w:ascii="Times New Roman" w:hAnsi="Times New Roman" w:eastAsia="仿宋_GB2312" w:cs="Times New Roman"/>
          <w:sz w:val="32"/>
          <w:szCs w:val="32"/>
        </w:rPr>
        <w:t>三东村三辄第二经济合作社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三东村三辄第二经济合作社、三东村三辄第一经济合作社（共有）</w:t>
      </w:r>
      <w:r>
        <w:rPr>
          <w:rFonts w:hint="default"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0.6515</w:t>
      </w:r>
      <w:r>
        <w:rPr>
          <w:rFonts w:hint="default" w:ascii="Times New Roman" w:hAnsi="Times New Roman" w:eastAsia="仿宋_GB2312" w:cs="Times New Roman"/>
          <w:sz w:val="32"/>
          <w:szCs w:val="32"/>
        </w:rPr>
        <w:t>公顷（9.7725亩），其中农用地0.</w:t>
      </w:r>
      <w:r>
        <w:rPr>
          <w:rFonts w:hint="eastAsia" w:ascii="Times New Roman" w:hAnsi="Times New Roman" w:eastAsia="仿宋_GB2312" w:cs="Times New Roman"/>
          <w:sz w:val="32"/>
          <w:szCs w:val="32"/>
          <w:lang w:val="en-US" w:eastAsia="zh-CN"/>
        </w:rPr>
        <w:t>0323</w:t>
      </w:r>
      <w:r>
        <w:rPr>
          <w:rFonts w:hint="default" w:ascii="Times New Roman" w:hAnsi="Times New Roman" w:eastAsia="仿宋_GB2312" w:cs="Times New Roman"/>
          <w:sz w:val="32"/>
          <w:szCs w:val="32"/>
        </w:rPr>
        <w:t>公顷（0.4845亩）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含耕地0.</w:t>
      </w:r>
      <w:r>
        <w:rPr>
          <w:rFonts w:hint="eastAsia" w:ascii="Times New Roman" w:hAnsi="Times New Roman" w:eastAsia="仿宋_GB2312" w:cs="Times New Roman"/>
          <w:sz w:val="32"/>
          <w:szCs w:val="32"/>
          <w:lang w:val="en-US" w:eastAsia="zh-CN"/>
        </w:rPr>
        <w:t>0323</w:t>
      </w:r>
      <w:r>
        <w:rPr>
          <w:rFonts w:hint="default" w:ascii="Times New Roman" w:hAnsi="Times New Roman" w:eastAsia="仿宋_GB2312" w:cs="Times New Roman"/>
          <w:sz w:val="32"/>
          <w:szCs w:val="32"/>
        </w:rPr>
        <w:t>公顷（0.4845亩）；建设用地0.</w:t>
      </w:r>
      <w:r>
        <w:rPr>
          <w:rFonts w:hint="eastAsia" w:ascii="Times New Roman" w:hAnsi="Times New Roman" w:eastAsia="仿宋_GB2312" w:cs="Times New Roman"/>
          <w:sz w:val="32"/>
          <w:szCs w:val="32"/>
          <w:lang w:val="en-US" w:eastAsia="zh-CN"/>
        </w:rPr>
        <w:t>6192</w:t>
      </w:r>
      <w:r>
        <w:rPr>
          <w:rFonts w:hint="default" w:ascii="Times New Roman" w:hAnsi="Times New Roman" w:eastAsia="仿宋_GB2312" w:cs="Times New Roman"/>
          <w:sz w:val="32"/>
          <w:szCs w:val="32"/>
        </w:rPr>
        <w:t>公顷（9.288</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亩）；不涉及未利用地。</w:t>
      </w:r>
    </w:p>
    <w:p w14:paraId="0AFB9B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拟征收广州市花都区花城街石岗村经济联合社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石岗村东仁二经济合作社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石岗村蟠龙经济合作社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石岗村西荣一经济合作社，石岗村西荣二经济合作社，石岗村西荣三经济合作社，石岗村下谭经济合作社</w:t>
      </w:r>
      <w:r>
        <w:rPr>
          <w:rFonts w:hint="default"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1.2155</w:t>
      </w:r>
      <w:r>
        <w:rPr>
          <w:rFonts w:hint="default" w:ascii="Times New Roman" w:hAnsi="Times New Roman" w:eastAsia="仿宋_GB2312" w:cs="Times New Roman"/>
          <w:sz w:val="32"/>
          <w:szCs w:val="32"/>
        </w:rPr>
        <w:t>公顷（18.2325亩），其中建设用地</w:t>
      </w:r>
      <w:r>
        <w:rPr>
          <w:rFonts w:hint="eastAsia" w:ascii="Times New Roman" w:hAnsi="Times New Roman" w:eastAsia="仿宋_GB2312" w:cs="Times New Roman"/>
          <w:sz w:val="32"/>
          <w:szCs w:val="32"/>
          <w:lang w:val="en-US" w:eastAsia="zh-CN"/>
        </w:rPr>
        <w:t>1.1665</w:t>
      </w:r>
      <w:r>
        <w:rPr>
          <w:rFonts w:hint="default" w:ascii="Times New Roman" w:hAnsi="Times New Roman" w:eastAsia="仿宋_GB2312" w:cs="Times New Roman"/>
          <w:sz w:val="32"/>
          <w:szCs w:val="32"/>
        </w:rPr>
        <w:t>公顷（17.4975亩）；未利用地</w:t>
      </w:r>
      <w:r>
        <w:rPr>
          <w:rFonts w:hint="eastAsia" w:ascii="Times New Roman" w:hAnsi="Times New Roman" w:eastAsia="仿宋_GB2312" w:cs="Times New Roman"/>
          <w:sz w:val="32"/>
          <w:szCs w:val="32"/>
          <w:lang w:val="en-US" w:eastAsia="zh-CN"/>
        </w:rPr>
        <w:t>0.0490公顷（0.7350亩）</w:t>
      </w:r>
      <w:r>
        <w:rPr>
          <w:rFonts w:hint="eastAsia" w:ascii="Times New Roman" w:hAnsi="Times New Roman" w:eastAsia="仿宋_GB2312" w:cs="Times New Roman"/>
          <w:sz w:val="32"/>
          <w:szCs w:val="32"/>
          <w:lang w:val="en-US" w:eastAsia="zh-CN"/>
        </w:rPr>
        <w:t>；不涉及</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lang w:val="en-US" w:eastAsia="zh-CN"/>
        </w:rPr>
        <w:t>。</w:t>
      </w:r>
    </w:p>
    <w:p w14:paraId="24D3D98E">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14:paraId="6072FDB0">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土地补偿费和安置补助费标准</w:t>
      </w:r>
    </w:p>
    <w:p w14:paraId="11DD2281">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根据《广东省自然资源厅关于广州市征收农用地区片综合地价成果的批复》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粤自然资函〔2024</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103号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的规定，土地补偿</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标准为120万元/公顷，安置补助</w:t>
      </w:r>
      <w:r>
        <w:rPr>
          <w:rFonts w:hint="eastAsia"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标准为120万元/公顷</w:t>
      </w:r>
      <w:r>
        <w:rPr>
          <w:rFonts w:hint="default" w:ascii="Times New Roman" w:hAnsi="Times New Roman" w:eastAsia="仿宋_GB2312" w:cs="Times New Roman"/>
          <w:sz w:val="32"/>
          <w:szCs w:val="32"/>
          <w:lang w:val="en-US" w:eastAsia="zh-CN"/>
        </w:rPr>
        <w:t>。</w:t>
      </w:r>
    </w:p>
    <w:p w14:paraId="02F21F60">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农村村民住宅补偿</w:t>
      </w:r>
    </w:p>
    <w:p w14:paraId="7AC71439">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本次征地不涉及农村村民住宅补偿</w:t>
      </w:r>
      <w:r>
        <w:rPr>
          <w:rFonts w:hint="eastAsia" w:ascii="Times New Roman" w:hAnsi="Times New Roman" w:eastAsia="仿宋_GB2312" w:cs="Times New Roman"/>
          <w:sz w:val="32"/>
          <w:szCs w:val="32"/>
          <w:lang w:eastAsia="zh-CN"/>
        </w:rPr>
        <w:t>。</w:t>
      </w:r>
    </w:p>
    <w:p w14:paraId="24F0B6C1">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青苗及其他地上附着物补偿</w:t>
      </w:r>
    </w:p>
    <w:p w14:paraId="356207B3">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花府办〔2016</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12号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的规定执行。</w:t>
      </w:r>
    </w:p>
    <w:p w14:paraId="50B28DB4">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1368625E">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388DE91">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08063B7B">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货币安置。</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费用已包含在土地补偿安置费中</w:t>
      </w:r>
      <w:r>
        <w:rPr>
          <w:rFonts w:hint="default" w:ascii="Times New Roman" w:hAnsi="Times New Roman" w:eastAsia="仿宋_GB2312" w:cs="Times New Roman"/>
          <w:sz w:val="32"/>
          <w:szCs w:val="32"/>
          <w:lang w:eastAsia="zh-CN"/>
        </w:rPr>
        <w:t>。</w:t>
      </w:r>
    </w:p>
    <w:p w14:paraId="6C0F6CDE">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留用地安置。根据《印发广东省征收农村集体土地留用地管理办法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粤府办〔2009</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41号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、《广东省人民政府办公厅关于加强征收农村集体土地留用地安置管理工作的意见》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粤府办〔2016</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按实际征收土地面积的10%安排留用地，按照实物留地方式安排留用地。</w:t>
      </w:r>
    </w:p>
    <w:p w14:paraId="48FF9C52">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sz w:val="28"/>
          <w:szCs w:val="28"/>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保障费用。该项目征收花城街三东村、石岗村土地面积共28.0050亩，根据《广东省人民政府办公厅转发省人力资源社会保障厅关于进一步完善我省被征地农民养老保障政策意见的通知》（粤府办〔2021〕22号）规定，核定该项目按2.14万元/亩标准一次性计提征地社保费共59.97万元，预存入区“收缴被征地农民养老保障资金过渡户”，专款用于被征地农民养老保障。</w:t>
      </w:r>
    </w:p>
    <w:p w14:paraId="11E2F1C7">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p>
    <w:p w14:paraId="7A7B5E2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32"/>
          <w:szCs w:val="32"/>
        </w:rPr>
      </w:pPr>
    </w:p>
    <w:p w14:paraId="18D516AB">
      <w:pPr>
        <w:pStyle w:val="2"/>
        <w:keepNext w:val="0"/>
        <w:keepLines w:val="0"/>
        <w:pageBreakBefore w:val="0"/>
        <w:widowControl w:val="0"/>
        <w:kinsoku/>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广州市规划和自然资源局花都区分局</w:t>
      </w:r>
    </w:p>
    <w:p w14:paraId="6B9BE847">
      <w:pPr>
        <w:pStyle w:val="2"/>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23</w:t>
      </w:r>
      <w:bookmarkStart w:id="0" w:name="_GoBack"/>
      <w:bookmarkEnd w:id="0"/>
      <w:r>
        <w:rPr>
          <w:rFonts w:hint="default" w:ascii="Times New Roman" w:hAnsi="Times New Roman" w:eastAsia="仿宋_GB2312" w:cs="Times New Roman"/>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31095"/>
    <w:rsid w:val="06945223"/>
    <w:rsid w:val="078947C9"/>
    <w:rsid w:val="0C547201"/>
    <w:rsid w:val="0EAD45FF"/>
    <w:rsid w:val="0EE71826"/>
    <w:rsid w:val="0F5D461F"/>
    <w:rsid w:val="12A54313"/>
    <w:rsid w:val="19792371"/>
    <w:rsid w:val="1AB05F4B"/>
    <w:rsid w:val="204F58BE"/>
    <w:rsid w:val="207A2E7F"/>
    <w:rsid w:val="222F1E4B"/>
    <w:rsid w:val="242B2707"/>
    <w:rsid w:val="24E22A16"/>
    <w:rsid w:val="26893EC7"/>
    <w:rsid w:val="2810627B"/>
    <w:rsid w:val="28B9246E"/>
    <w:rsid w:val="2C6D614E"/>
    <w:rsid w:val="2E132621"/>
    <w:rsid w:val="30E87D95"/>
    <w:rsid w:val="30FA7AC8"/>
    <w:rsid w:val="310B3EA9"/>
    <w:rsid w:val="342A06C4"/>
    <w:rsid w:val="35523A2F"/>
    <w:rsid w:val="380102BC"/>
    <w:rsid w:val="3CFB2BFE"/>
    <w:rsid w:val="3F21764F"/>
    <w:rsid w:val="3FC27A03"/>
    <w:rsid w:val="40644F5E"/>
    <w:rsid w:val="43626C83"/>
    <w:rsid w:val="45CA13BF"/>
    <w:rsid w:val="4B803312"/>
    <w:rsid w:val="4D996326"/>
    <w:rsid w:val="4EDC4486"/>
    <w:rsid w:val="54F9581D"/>
    <w:rsid w:val="5A074538"/>
    <w:rsid w:val="5A551748"/>
    <w:rsid w:val="5B0A7A07"/>
    <w:rsid w:val="5DAB154C"/>
    <w:rsid w:val="5DDD2180"/>
    <w:rsid w:val="61606F12"/>
    <w:rsid w:val="6266691D"/>
    <w:rsid w:val="62CE653B"/>
    <w:rsid w:val="64202DC6"/>
    <w:rsid w:val="66326DE1"/>
    <w:rsid w:val="68095FB7"/>
    <w:rsid w:val="68EF7917"/>
    <w:rsid w:val="6B2F435D"/>
    <w:rsid w:val="6C537AB1"/>
    <w:rsid w:val="6CE32BE3"/>
    <w:rsid w:val="6EE90259"/>
    <w:rsid w:val="6F8E38F1"/>
    <w:rsid w:val="72A252EE"/>
    <w:rsid w:val="73974727"/>
    <w:rsid w:val="7527077E"/>
    <w:rsid w:val="76676633"/>
    <w:rsid w:val="77710A2F"/>
    <w:rsid w:val="78EB5A59"/>
    <w:rsid w:val="79020895"/>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2025-10-22T03:19:49Z</dcterms:created>
  <dc:creator>博晟</dc:creator>
  <cp:lastModifiedBy>bomb</cp:lastModifiedBy>
  <dcterms:modified xsi:type="dcterms:W3CDTF">2025-10-23T06:45:30Z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eyJoZGlkIjoiMzEwNTM5NzYwMDRjMzkwZTVkZjY2ODkwMGIxNGU0OTUiLCJ1c2VySWQiOiIzODc5ODc4ODEifQ==</vt:lpwstr>
  </property>
  <property fmtid="{D5CDD505-2E9C-101B-9397-08002B2CF9AE}" pid="4" name="ICV">
    <vt:lpwstr>070E784CD0EB45518006AA5A12804114_12</vt:lpwstr>
  </property>
</Properties>
</file>