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3D0C1">
      <w:pPr>
        <w:spacing w:line="262" w:lineRule="auto"/>
        <w:rPr>
          <w:rFonts w:hint="default" w:ascii="Times New Roman" w:hAnsi="Times New Roman" w:cs="Times New Roman"/>
          <w:sz w:val="21"/>
        </w:rPr>
      </w:pPr>
    </w:p>
    <w:p w14:paraId="75F258F7">
      <w:pPr>
        <w:spacing w:line="262" w:lineRule="auto"/>
        <w:rPr>
          <w:rFonts w:hint="default" w:ascii="Times New Roman" w:hAnsi="Times New Roman" w:cs="Times New Roman"/>
          <w:sz w:val="21"/>
        </w:rPr>
      </w:pPr>
    </w:p>
    <w:p w14:paraId="457FD684">
      <w:pPr>
        <w:spacing w:line="263" w:lineRule="auto"/>
        <w:rPr>
          <w:rFonts w:hint="default" w:ascii="Times New Roman" w:hAnsi="Times New Roman" w:cs="Times New Roman"/>
          <w:sz w:val="21"/>
        </w:rPr>
      </w:pPr>
    </w:p>
    <w:p w14:paraId="603D5012">
      <w:pPr>
        <w:spacing w:line="263" w:lineRule="auto"/>
        <w:rPr>
          <w:rFonts w:hint="default" w:ascii="Times New Roman" w:hAnsi="Times New Roman" w:cs="Times New Roman"/>
          <w:sz w:val="21"/>
        </w:rPr>
      </w:pPr>
    </w:p>
    <w:p w14:paraId="115203FD">
      <w:pPr>
        <w:keepNext w:val="0"/>
        <w:keepLines w:val="0"/>
        <w:pageBreakBefore w:val="0"/>
        <w:widowControl/>
        <w:kinsoku w:val="0"/>
        <w:wordWrap/>
        <w:overflowPunct/>
        <w:topLinePunct w:val="0"/>
        <w:autoSpaceDE w:val="0"/>
        <w:autoSpaceDN w:val="0"/>
        <w:bidi w:val="0"/>
        <w:adjustRightInd w:val="0"/>
        <w:snapToGrid w:val="0"/>
        <w:spacing w:before="153" w:line="600" w:lineRule="exact"/>
        <w:jc w:val="center"/>
        <w:textAlignment w:val="baseline"/>
        <w:rPr>
          <w:rFonts w:hint="default" w:ascii="Times New Roman" w:hAnsi="Times New Roman" w:eastAsia="宋体" w:cs="Times New Roman"/>
          <w:spacing w:val="-6"/>
          <w:sz w:val="44"/>
          <w:szCs w:val="44"/>
        </w:rPr>
      </w:pPr>
      <w:r>
        <w:rPr>
          <w:rFonts w:hint="default" w:ascii="Times New Roman" w:hAnsi="Times New Roman" w:eastAsia="宋体" w:cs="Times New Roman"/>
          <w:b/>
          <w:bCs/>
          <w:spacing w:val="-6"/>
          <w:sz w:val="44"/>
          <w:szCs w:val="44"/>
        </w:rPr>
        <w:t>关于广州市花都区2025年度第一百一十</w:t>
      </w:r>
      <w:r>
        <w:rPr>
          <w:rFonts w:hint="default" w:ascii="Times New Roman" w:hAnsi="Times New Roman" w:eastAsia="宋体" w:cs="Times New Roman"/>
          <w:b/>
          <w:bCs/>
          <w:spacing w:val="-6"/>
          <w:sz w:val="44"/>
          <w:szCs w:val="44"/>
          <w:lang w:val="en-US" w:eastAsia="zh-CN"/>
        </w:rPr>
        <w:t>六</w:t>
      </w:r>
      <w:r>
        <w:rPr>
          <w:rFonts w:hint="default" w:ascii="Times New Roman" w:hAnsi="Times New Roman" w:eastAsia="宋体" w:cs="Times New Roman"/>
          <w:b/>
          <w:bCs/>
          <w:spacing w:val="-6"/>
          <w:sz w:val="44"/>
          <w:szCs w:val="44"/>
        </w:rPr>
        <w:t>批次城镇建设用地</w:t>
      </w:r>
      <w:r>
        <w:rPr>
          <w:rFonts w:hint="eastAsia" w:ascii="Times New Roman" w:hAnsi="Times New Roman" w:eastAsia="宋体" w:cs="Times New Roman"/>
          <w:b/>
          <w:bCs/>
          <w:spacing w:val="-6"/>
          <w:sz w:val="44"/>
          <w:szCs w:val="44"/>
          <w:lang w:eastAsia="zh-CN"/>
        </w:rPr>
        <w:t>（</w:t>
      </w:r>
      <w:r>
        <w:rPr>
          <w:rFonts w:hint="default" w:ascii="Times New Roman" w:hAnsi="Times New Roman" w:eastAsia="宋体" w:cs="Times New Roman"/>
          <w:b/>
          <w:bCs/>
          <w:spacing w:val="-6"/>
          <w:sz w:val="44"/>
          <w:szCs w:val="44"/>
        </w:rPr>
        <w:t>景天路</w:t>
      </w:r>
      <w:r>
        <w:rPr>
          <w:rFonts w:hint="default" w:ascii="Times New Roman" w:hAnsi="Times New Roman" w:eastAsia="仿宋" w:cs="Times New Roman"/>
          <w:b/>
          <w:bCs/>
          <w:spacing w:val="-6"/>
          <w:sz w:val="44"/>
          <w:szCs w:val="44"/>
        </w:rPr>
        <w:t>〔</w:t>
      </w:r>
      <w:r>
        <w:rPr>
          <w:rFonts w:hint="default" w:ascii="Times New Roman" w:hAnsi="Times New Roman" w:eastAsia="宋体" w:cs="Times New Roman"/>
          <w:b/>
          <w:bCs/>
          <w:spacing w:val="-6"/>
          <w:sz w:val="44"/>
          <w:szCs w:val="44"/>
        </w:rPr>
        <w:t>建设北路-曙光路</w:t>
      </w:r>
      <w:r>
        <w:rPr>
          <w:rFonts w:hint="default" w:ascii="Times New Roman" w:hAnsi="Times New Roman" w:eastAsia="仿宋" w:cs="Times New Roman"/>
          <w:b/>
          <w:bCs/>
          <w:spacing w:val="-6"/>
          <w:sz w:val="44"/>
          <w:szCs w:val="44"/>
        </w:rPr>
        <w:t>〕</w:t>
      </w:r>
      <w:r>
        <w:rPr>
          <w:rFonts w:hint="default" w:ascii="Times New Roman" w:hAnsi="Times New Roman" w:eastAsia="宋体" w:cs="Times New Roman"/>
          <w:b/>
          <w:bCs/>
          <w:spacing w:val="-6"/>
          <w:sz w:val="44"/>
          <w:szCs w:val="44"/>
          <w:lang w:val="en-US" w:eastAsia="zh-CN"/>
        </w:rPr>
        <w:t>工程</w:t>
      </w:r>
      <w:r>
        <w:rPr>
          <w:rFonts w:hint="eastAsia" w:ascii="Times New Roman" w:hAnsi="Times New Roman" w:eastAsia="宋体" w:cs="Times New Roman"/>
          <w:b/>
          <w:bCs/>
          <w:spacing w:val="-6"/>
          <w:sz w:val="44"/>
          <w:szCs w:val="44"/>
          <w:lang w:eastAsia="zh-CN"/>
        </w:rPr>
        <w:t>）</w:t>
      </w:r>
      <w:r>
        <w:rPr>
          <w:rFonts w:hint="default" w:ascii="Times New Roman" w:hAnsi="Times New Roman" w:eastAsia="宋体" w:cs="Times New Roman"/>
          <w:b/>
          <w:bCs/>
          <w:spacing w:val="-6"/>
          <w:sz w:val="44"/>
          <w:szCs w:val="44"/>
        </w:rPr>
        <w:t>项目被征地农民养老保障方案</w:t>
      </w:r>
    </w:p>
    <w:p w14:paraId="1B0B23D8">
      <w:pPr>
        <w:spacing w:line="270" w:lineRule="auto"/>
        <w:rPr>
          <w:rFonts w:hint="default" w:ascii="Times New Roman" w:hAnsi="Times New Roman" w:cs="Times New Roman"/>
          <w:sz w:val="21"/>
        </w:rPr>
      </w:pPr>
    </w:p>
    <w:p w14:paraId="764D3D19">
      <w:pPr>
        <w:spacing w:line="271" w:lineRule="auto"/>
        <w:rPr>
          <w:rFonts w:hint="default" w:ascii="Times New Roman" w:hAnsi="Times New Roman" w:cs="Times New Roman"/>
          <w:sz w:val="21"/>
        </w:rPr>
      </w:pPr>
    </w:p>
    <w:p w14:paraId="5AA54C2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依照《中华人民共和国土地管理法》《关于切实做好被征地农民社会保障工作有关问题的通知》</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劳社部发〔2007〕14号</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lang w:val="en-US" w:eastAsia="zh-CN"/>
        </w:rPr>
        <w:t>下称劳社部发</w:t>
      </w:r>
      <w:r>
        <w:rPr>
          <w:rFonts w:hint="default" w:ascii="Times New Roman" w:hAnsi="Times New Roman" w:eastAsia="仿宋_GB2312" w:cs="Times New Roman"/>
          <w:spacing w:val="0"/>
          <w:sz w:val="31"/>
          <w:szCs w:val="31"/>
        </w:rPr>
        <w:t>〔2007〕14号</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《广东省人民政府办公厅转发省人力资源社会保障厅关于进一步完善我省被征地农民养老保障政策意见的通知》</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粤府办〔2021〕22号</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lang w:val="en-US" w:eastAsia="zh-CN"/>
        </w:rPr>
        <w:t>和</w:t>
      </w:r>
      <w:r>
        <w:rPr>
          <w:rFonts w:hint="default" w:ascii="Times New Roman" w:hAnsi="Times New Roman" w:eastAsia="仿宋_GB2312" w:cs="Times New Roman"/>
          <w:spacing w:val="0"/>
          <w:sz w:val="31"/>
          <w:szCs w:val="31"/>
        </w:rPr>
        <w:t>《</w:t>
      </w:r>
      <w:r>
        <w:rPr>
          <w:rFonts w:hint="default" w:ascii="Times New Roman" w:hAnsi="Times New Roman" w:eastAsia="仿宋_GB2312" w:cs="Times New Roman"/>
          <w:spacing w:val="0"/>
          <w:sz w:val="31"/>
          <w:szCs w:val="31"/>
          <w:lang w:val="en-US" w:eastAsia="zh-CN"/>
        </w:rPr>
        <w:t>广</w:t>
      </w:r>
      <w:r>
        <w:rPr>
          <w:rFonts w:hint="default" w:ascii="Times New Roman" w:hAnsi="Times New Roman" w:eastAsia="仿宋_GB2312" w:cs="Times New Roman"/>
          <w:spacing w:val="0"/>
          <w:sz w:val="31"/>
          <w:szCs w:val="31"/>
        </w:rPr>
        <w:t>州市人民政府办公厅转发关于进一步完善我省被征地农民养老保障政策意见的通</w:t>
      </w:r>
      <w:r>
        <w:rPr>
          <w:rFonts w:hint="default" w:ascii="Times New Roman" w:hAnsi="Times New Roman" w:eastAsia="仿宋_GB2312" w:cs="Times New Roman"/>
          <w:spacing w:val="0"/>
          <w:sz w:val="31"/>
          <w:szCs w:val="31"/>
          <w:lang w:val="en-US" w:eastAsia="zh-CN"/>
        </w:rPr>
        <w:t>知</w:t>
      </w:r>
      <w:r>
        <w:rPr>
          <w:rFonts w:hint="default" w:ascii="Times New Roman" w:hAnsi="Times New Roman" w:eastAsia="仿宋_GB2312" w:cs="Times New Roman"/>
          <w:spacing w:val="0"/>
          <w:sz w:val="31"/>
          <w:szCs w:val="31"/>
        </w:rPr>
        <w:t>》</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lang w:val="en-US" w:eastAsia="zh-CN"/>
        </w:rPr>
        <w:t>穗府办规</w:t>
      </w:r>
      <w:r>
        <w:rPr>
          <w:rFonts w:hint="default" w:ascii="Times New Roman" w:hAnsi="Times New Roman" w:eastAsia="仿宋_GB2312" w:cs="Times New Roman"/>
          <w:spacing w:val="0"/>
          <w:sz w:val="31"/>
          <w:szCs w:val="31"/>
        </w:rPr>
        <w:t>〔20</w:t>
      </w:r>
      <w:r>
        <w:rPr>
          <w:rFonts w:hint="default" w:ascii="Times New Roman" w:hAnsi="Times New Roman" w:eastAsia="仿宋_GB2312" w:cs="Times New Roman"/>
          <w:spacing w:val="0"/>
          <w:sz w:val="31"/>
          <w:szCs w:val="31"/>
          <w:lang w:val="en-US" w:eastAsia="zh-CN"/>
        </w:rPr>
        <w:t>22</w:t>
      </w:r>
      <w:r>
        <w:rPr>
          <w:rFonts w:hint="default" w:ascii="Times New Roman" w:hAnsi="Times New Roman" w:eastAsia="仿宋_GB2312" w:cs="Times New Roman"/>
          <w:spacing w:val="0"/>
          <w:sz w:val="31"/>
          <w:szCs w:val="31"/>
        </w:rPr>
        <w:t>〕</w:t>
      </w:r>
      <w:r>
        <w:rPr>
          <w:rFonts w:hint="default" w:ascii="Times New Roman" w:hAnsi="Times New Roman" w:eastAsia="仿宋_GB2312" w:cs="Times New Roman"/>
          <w:spacing w:val="0"/>
          <w:sz w:val="31"/>
          <w:szCs w:val="31"/>
          <w:lang w:val="en-US" w:eastAsia="zh-CN"/>
        </w:rPr>
        <w:t>3</w:t>
      </w:r>
      <w:r>
        <w:rPr>
          <w:rFonts w:hint="default" w:ascii="Times New Roman" w:hAnsi="Times New Roman" w:eastAsia="仿宋_GB2312" w:cs="Times New Roman"/>
          <w:spacing w:val="0"/>
          <w:sz w:val="31"/>
          <w:szCs w:val="31"/>
        </w:rPr>
        <w:t>号</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等有关规定，拟定广州市花都区2025年度第一百一十六批次城镇建设用地</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景天路〔建设北路-曙光路〕工程</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项目被征地农民养老保障方案如下：</w:t>
      </w:r>
    </w:p>
    <w:p w14:paraId="4EE3761E">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花都区分局提供情况，该项目征收我区花城街三东村、石岗村土地面积共28.0050亩，其中0亩属于农村集体经济组织留用地，该项目征地双方已于2023年4月全部完成征地补偿安置协议签订。一 、对广州市花都区2025年度第一百一十六批次城镇建设用地</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景天路〔建设北路-曙光路〕工程</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项目涉及的被征地农民实施社会养老保障。</w:t>
      </w:r>
    </w:p>
    <w:p w14:paraId="30C97AE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二、征地社保费筹集。</w:t>
      </w:r>
      <w:r>
        <w:rPr>
          <w:rFonts w:hint="default" w:ascii="Times New Roman" w:hAnsi="Times New Roman" w:eastAsia="仿宋_GB2312" w:cs="Times New Roman"/>
          <w:spacing w:val="0"/>
          <w:sz w:val="31"/>
          <w:szCs w:val="31"/>
          <w:lang w:val="en-US" w:eastAsia="zh-CN"/>
        </w:rPr>
        <w:t>根据市规划和自然资源局该项目征地</w:t>
      </w:r>
      <w:r>
        <w:rPr>
          <w:rFonts w:hint="default" w:ascii="Times New Roman" w:hAnsi="Times New Roman" w:eastAsia="仿宋_GB2312" w:cs="Times New Roman"/>
          <w:spacing w:val="0"/>
          <w:sz w:val="31"/>
          <w:szCs w:val="31"/>
        </w:rPr>
        <w:t>社保费应按2.14万元/亩的标准计提</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即征地补偿安置方案制定时，我区每亩平均征收农用地综合区片地价13.33万元/亩的16%</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，其中0亩属于农村集体经济组织留用地，按规定不计提征地社保费，需计提费用共59.97万元由征地主体</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用地单位</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一次性预存入我区</w:t>
      </w:r>
      <w:r>
        <w:rPr>
          <w:rFonts w:hint="default" w:ascii="Times New Roman" w:hAnsi="Times New Roman" w:eastAsia="仿宋_GB2312" w:cs="Times New Roman"/>
          <w:spacing w:val="0"/>
          <w:sz w:val="31"/>
          <w:szCs w:val="31"/>
          <w:lang w:val="en-US" w:eastAsia="zh-CN"/>
        </w:rPr>
        <w:t>人</w:t>
      </w:r>
      <w:r>
        <w:rPr>
          <w:rFonts w:hint="default" w:ascii="Times New Roman" w:hAnsi="Times New Roman" w:eastAsia="仿宋_GB2312" w:cs="Times New Roman"/>
          <w:spacing w:val="0"/>
          <w:sz w:val="31"/>
          <w:szCs w:val="31"/>
        </w:rPr>
        <w:t>力资源社会保障部门开设的“收缴被征地农民养老保障资金过渡户”，单列计提并计入征地成本，纳入工程项目概算。</w:t>
      </w:r>
    </w:p>
    <w:p w14:paraId="215D586A">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三、征地</w:t>
      </w:r>
      <w:r>
        <w:rPr>
          <w:rFonts w:hint="default" w:ascii="Times New Roman" w:hAnsi="Times New Roman" w:eastAsia="仿宋_GB2312" w:cs="Times New Roman"/>
          <w:spacing w:val="0"/>
          <w:sz w:val="31"/>
          <w:szCs w:val="31"/>
          <w:lang w:val="en-US" w:eastAsia="zh-CN"/>
        </w:rPr>
        <w:t>社保费补贴</w:t>
      </w:r>
      <w:r>
        <w:rPr>
          <w:rFonts w:hint="default" w:ascii="Times New Roman" w:hAnsi="Times New Roman" w:eastAsia="仿宋_GB2312" w:cs="Times New Roman"/>
          <w:spacing w:val="0"/>
          <w:sz w:val="31"/>
          <w:szCs w:val="31"/>
        </w:rPr>
        <w:t>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如实行</w:t>
      </w:r>
      <w:r>
        <w:rPr>
          <w:rFonts w:hint="default" w:ascii="Times New Roman" w:hAnsi="Times New Roman" w:eastAsia="仿宋_GB2312" w:cs="Times New Roman"/>
          <w:spacing w:val="0"/>
          <w:sz w:val="31"/>
          <w:szCs w:val="31"/>
          <w:lang w:val="en-US" w:eastAsia="zh-CN"/>
        </w:rPr>
        <w:t>土</w:t>
      </w:r>
      <w:r>
        <w:rPr>
          <w:rFonts w:hint="default" w:ascii="Times New Roman" w:hAnsi="Times New Roman" w:eastAsia="仿宋_GB2312" w:cs="Times New Roman"/>
          <w:spacing w:val="0"/>
          <w:sz w:val="31"/>
          <w:szCs w:val="31"/>
        </w:rPr>
        <w:t>地股份制经济或者集体统一经营土地等情况</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，可从其规定。</w:t>
      </w:r>
    </w:p>
    <w:p w14:paraId="3D47D3F1">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四 、征地社保费分配。一是征地社保费专款用于被征地农民的基本养老保险补贴。二是落实“征地社保费与征地安置补偿费同期拨付”和“在项目获批后3个月内完成资金分配工作，落实参保到人”的有关规定。乡镇人民政府</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街道办事处</w:t>
      </w:r>
      <w:r>
        <w:rPr>
          <w:rFonts w:hint="default" w:ascii="Times New Roman" w:hAnsi="Times New Roman" w:eastAsia="仿宋_GB2312" w:cs="Times New Roman"/>
          <w:spacing w:val="0"/>
          <w:sz w:val="31"/>
          <w:szCs w:val="31"/>
          <w:lang w:eastAsia="zh-CN"/>
        </w:rPr>
        <w:t>）</w:t>
      </w:r>
      <w:r>
        <w:rPr>
          <w:rFonts w:hint="default" w:ascii="Times New Roman" w:hAnsi="Times New Roman" w:eastAsia="仿宋_GB2312" w:cs="Times New Roman"/>
          <w:spacing w:val="0"/>
          <w:sz w:val="31"/>
          <w:szCs w:val="31"/>
        </w:rPr>
        <w:t>按规定牵头做好被征地农民的失地面积及纳入征地社保费补贴范围的人数和对象审核、报送工作，及时报送所属社会保险经办部门办理社保手续。</w:t>
      </w:r>
    </w:p>
    <w:p w14:paraId="60FBEFE2">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90"/>
        <w:jc w:val="both"/>
        <w:textAlignment w:val="baseline"/>
        <w:rPr>
          <w:rFonts w:hint="default" w:ascii="Times New Roman" w:hAnsi="Times New Roman" w:eastAsia="仿宋_GB2312" w:cs="Times New Roman"/>
          <w:spacing w:val="0"/>
          <w:sz w:val="31"/>
          <w:szCs w:val="31"/>
        </w:rPr>
      </w:pPr>
    </w:p>
    <w:p w14:paraId="4D244650">
      <w:pPr>
        <w:pStyle w:val="3"/>
        <w:keepNext w:val="0"/>
        <w:keepLines w:val="0"/>
        <w:pageBreakBefore w:val="0"/>
        <w:widowControl/>
        <w:kinsoku w:val="0"/>
        <w:wordWrap/>
        <w:overflowPunct/>
        <w:topLinePunct w:val="0"/>
        <w:autoSpaceDE w:val="0"/>
        <w:autoSpaceDN w:val="0"/>
        <w:bidi w:val="0"/>
        <w:adjustRightInd w:val="0"/>
        <w:snapToGrid w:val="0"/>
        <w:spacing w:line="520" w:lineRule="exact"/>
        <w:ind w:left="0" w:right="0"/>
        <w:textAlignment w:val="baseline"/>
        <w:rPr>
          <w:rFonts w:hint="default" w:ascii="Times New Roman" w:hAnsi="Times New Roman" w:eastAsia="仿宋_GB2312" w:cs="Times New Roman"/>
          <w:spacing w:val="0"/>
          <w:sz w:val="31"/>
          <w:szCs w:val="31"/>
        </w:rPr>
      </w:pPr>
      <w:r>
        <w:rPr>
          <w:rFonts w:hint="default" w:ascii="Times New Roman" w:hAnsi="Times New Roman" w:eastAsia="仿宋_GB2312" w:cs="Times New Roman"/>
          <w:spacing w:val="0"/>
          <w:sz w:val="31"/>
          <w:szCs w:val="31"/>
        </w:rPr>
        <w:t>附表：征收土地</w:t>
      </w:r>
      <w:r>
        <w:rPr>
          <w:rFonts w:hint="default" w:ascii="Times New Roman" w:hAnsi="Times New Roman" w:eastAsia="仿宋_GB2312" w:cs="Times New Roman"/>
          <w:spacing w:val="0"/>
          <w:sz w:val="31"/>
          <w:szCs w:val="31"/>
          <w:lang w:val="en-US" w:eastAsia="zh-CN"/>
        </w:rPr>
        <w:t>和</w:t>
      </w:r>
      <w:r>
        <w:rPr>
          <w:rFonts w:hint="default" w:ascii="Times New Roman" w:hAnsi="Times New Roman" w:eastAsia="仿宋_GB2312" w:cs="Times New Roman"/>
          <w:spacing w:val="0"/>
          <w:sz w:val="31"/>
          <w:szCs w:val="31"/>
        </w:rPr>
        <w:t>养老保障情况表</w:t>
      </w:r>
    </w:p>
    <w:p w14:paraId="2C07A33F">
      <w:pPr>
        <w:spacing w:line="253" w:lineRule="auto"/>
        <w:rPr>
          <w:rFonts w:hint="default" w:ascii="Times New Roman" w:hAnsi="Times New Roman" w:eastAsia="仿宋_GB2312" w:cs="Times New Roman"/>
          <w:sz w:val="21"/>
        </w:rPr>
      </w:pPr>
    </w:p>
    <w:p w14:paraId="465E5191">
      <w:pPr>
        <w:spacing w:line="253" w:lineRule="auto"/>
        <w:rPr>
          <w:rFonts w:hint="default" w:ascii="Times New Roman" w:hAnsi="Times New Roman" w:eastAsia="仿宋_GB2312" w:cs="Times New Roman"/>
          <w:sz w:val="21"/>
        </w:rPr>
      </w:pPr>
    </w:p>
    <w:p w14:paraId="41CD53B4">
      <w:pPr>
        <w:spacing w:line="254" w:lineRule="auto"/>
        <w:rPr>
          <w:rFonts w:hint="default" w:ascii="Times New Roman" w:hAnsi="Times New Roman" w:eastAsia="仿宋_GB2312" w:cs="Times New Roman"/>
          <w:sz w:val="21"/>
        </w:rPr>
      </w:pPr>
    </w:p>
    <w:p w14:paraId="43F4F96C">
      <w:pPr>
        <w:spacing w:line="254" w:lineRule="auto"/>
        <w:rPr>
          <w:rFonts w:hint="default" w:ascii="Times New Roman" w:hAnsi="Times New Roman" w:eastAsia="仿宋_GB2312" w:cs="Times New Roman"/>
          <w:sz w:val="21"/>
        </w:rPr>
      </w:pPr>
    </w:p>
    <w:p w14:paraId="54C9F960">
      <w:pPr>
        <w:spacing w:line="254" w:lineRule="auto"/>
        <w:rPr>
          <w:rFonts w:hint="default" w:ascii="Times New Roman" w:hAnsi="Times New Roman" w:eastAsia="仿宋_GB2312" w:cs="Times New Roman"/>
          <w:sz w:val="21"/>
        </w:rPr>
      </w:pPr>
    </w:p>
    <w:p w14:paraId="2F8C5781">
      <w:pPr>
        <w:pStyle w:val="3"/>
        <w:spacing w:before="101" w:line="220" w:lineRule="auto"/>
        <w:ind w:left="3300"/>
        <w:rPr>
          <w:rFonts w:hint="default" w:ascii="Times New Roman" w:hAnsi="Times New Roman" w:eastAsia="仿宋_GB2312" w:cs="Times New Roman"/>
          <w:sz w:val="31"/>
          <w:szCs w:val="31"/>
        </w:rPr>
      </w:pPr>
      <w:r>
        <w:rPr>
          <w:rFonts w:hint="default" w:ascii="Times New Roman" w:hAnsi="Times New Roman" w:eastAsia="仿宋_GB2312" w:cs="Times New Roman"/>
          <w:spacing w:val="8"/>
          <w:sz w:val="31"/>
          <w:szCs w:val="31"/>
        </w:rPr>
        <w:t>广州市花都区人力资源和社会保障局</w:t>
      </w:r>
    </w:p>
    <w:p w14:paraId="274EA216">
      <w:pPr>
        <w:pStyle w:val="3"/>
        <w:spacing w:before="174" w:line="222" w:lineRule="auto"/>
        <w:ind w:left="4569"/>
        <w:rPr>
          <w:rFonts w:hint="default" w:ascii="Times New Roman" w:hAnsi="Times New Roman" w:cs="Times New Roman"/>
          <w:sz w:val="31"/>
          <w:szCs w:val="31"/>
        </w:rPr>
      </w:pPr>
      <w:r>
        <w:rPr>
          <w:rFonts w:hint="default" w:ascii="Times New Roman" w:hAnsi="Times New Roman" w:eastAsia="仿宋_GB2312" w:cs="Times New Roman"/>
          <w:spacing w:val="43"/>
          <w:sz w:val="31"/>
          <w:szCs w:val="31"/>
        </w:rPr>
        <w:t>2025年10月1</w:t>
      </w:r>
      <w:r>
        <w:rPr>
          <w:rFonts w:hint="default" w:ascii="Times New Roman" w:hAnsi="Times New Roman" w:eastAsia="仿宋_GB2312" w:cs="Times New Roman"/>
          <w:spacing w:val="43"/>
          <w:sz w:val="31"/>
          <w:szCs w:val="31"/>
          <w:lang w:val="en-US" w:eastAsia="zh-CN"/>
        </w:rPr>
        <w:t>7</w:t>
      </w:r>
      <w:r>
        <w:rPr>
          <w:rFonts w:hint="default" w:ascii="Times New Roman" w:hAnsi="Times New Roman" w:eastAsia="仿宋_GB2312" w:cs="Times New Roman"/>
          <w:spacing w:val="43"/>
          <w:sz w:val="31"/>
          <w:szCs w:val="31"/>
        </w:rPr>
        <w:t>日</w:t>
      </w:r>
    </w:p>
    <w:p w14:paraId="26B38FFA">
      <w:pPr>
        <w:spacing w:line="222" w:lineRule="auto"/>
        <w:rPr>
          <w:rFonts w:hint="default" w:ascii="Times New Roman" w:hAnsi="Times New Roman" w:cs="Times New Roman"/>
          <w:sz w:val="31"/>
          <w:szCs w:val="31"/>
        </w:rPr>
        <w:sectPr>
          <w:footerReference r:id="rId5" w:type="default"/>
          <w:pgSz w:w="11910" w:h="16850"/>
          <w:pgMar w:top="1432" w:right="1457" w:bottom="1706" w:left="1650" w:header="0" w:footer="1304" w:gutter="0"/>
          <w:cols w:space="720" w:num="1"/>
        </w:sectPr>
      </w:pPr>
    </w:p>
    <w:p w14:paraId="4FC5862D">
      <w:pPr>
        <w:spacing w:line="347" w:lineRule="auto"/>
        <w:rPr>
          <w:rFonts w:hint="default" w:ascii="Times New Roman" w:hAnsi="Times New Roman" w:cs="Times New Roman"/>
          <w:sz w:val="21"/>
        </w:rPr>
      </w:pPr>
    </w:p>
    <w:p w14:paraId="35BA90F3">
      <w:pPr>
        <w:spacing w:line="348" w:lineRule="auto"/>
        <w:rPr>
          <w:rFonts w:hint="default" w:ascii="Times New Roman" w:hAnsi="Times New Roman" w:cs="Times New Roman"/>
          <w:sz w:val="21"/>
        </w:rPr>
      </w:pPr>
    </w:p>
    <w:p w14:paraId="15E5A342">
      <w:pPr>
        <w:spacing w:before="100" w:line="224" w:lineRule="auto"/>
        <w:ind w:left="34"/>
        <w:rPr>
          <w:rFonts w:hint="default" w:ascii="Times New Roman" w:hAnsi="Times New Roman" w:eastAsia="黑体" w:cs="Times New Roman"/>
          <w:sz w:val="31"/>
          <w:szCs w:val="31"/>
        </w:rPr>
      </w:pPr>
      <w:r>
        <w:rPr>
          <w:rFonts w:hint="default" w:ascii="Times New Roman" w:hAnsi="Times New Roman" w:eastAsia="黑体" w:cs="Times New Roman"/>
          <w:b/>
          <w:bCs/>
          <w:spacing w:val="4"/>
          <w:sz w:val="31"/>
          <w:szCs w:val="31"/>
        </w:rPr>
        <w:t>附件</w:t>
      </w:r>
    </w:p>
    <w:p w14:paraId="59EF690D">
      <w:pPr>
        <w:spacing w:line="248" w:lineRule="auto"/>
        <w:rPr>
          <w:rFonts w:hint="default" w:ascii="Times New Roman" w:hAnsi="Times New Roman" w:cs="Times New Roman"/>
          <w:sz w:val="21"/>
        </w:rPr>
      </w:pPr>
    </w:p>
    <w:p w14:paraId="4750D1E2">
      <w:pPr>
        <w:spacing w:before="143" w:line="219" w:lineRule="auto"/>
        <w:ind w:left="1706"/>
        <w:rPr>
          <w:rFonts w:hint="default" w:ascii="Times New Roman" w:hAnsi="Times New Roman" w:eastAsia="宋体" w:cs="Times New Roman"/>
          <w:sz w:val="44"/>
          <w:szCs w:val="44"/>
        </w:rPr>
      </w:pPr>
      <w:r>
        <w:rPr>
          <w:rFonts w:hint="default" w:ascii="Times New Roman" w:hAnsi="Times New Roman" w:eastAsia="宋体" w:cs="Times New Roman"/>
          <w:b/>
          <w:bCs/>
          <w:spacing w:val="-7"/>
          <w:sz w:val="44"/>
          <w:szCs w:val="44"/>
        </w:rPr>
        <w:t>征收土地及养老保障情况表</w:t>
      </w:r>
    </w:p>
    <w:p w14:paraId="4AA75444">
      <w:pPr>
        <w:spacing w:before="236" w:line="220" w:lineRule="auto"/>
        <w:ind w:left="5899"/>
        <w:rPr>
          <w:rFonts w:hint="default" w:ascii="Times New Roman" w:hAnsi="Times New Roman" w:eastAsia="宋体" w:cs="Times New Roman"/>
          <w:sz w:val="24"/>
          <w:szCs w:val="24"/>
        </w:rPr>
      </w:pPr>
      <w:r>
        <w:rPr>
          <w:rFonts w:hint="default" w:ascii="Times New Roman" w:hAnsi="Times New Roman" w:eastAsia="宋体" w:cs="Times New Roman"/>
          <w:spacing w:val="1"/>
          <w:sz w:val="24"/>
          <w:szCs w:val="24"/>
        </w:rPr>
        <w:t>单位：亩、万元</w:t>
      </w:r>
    </w:p>
    <w:p w14:paraId="407B9B44">
      <w:pPr>
        <w:spacing w:line="28" w:lineRule="exact"/>
        <w:rPr>
          <w:rFonts w:hint="default" w:ascii="Times New Roman" w:hAnsi="Times New Roman" w:cs="Times New Roman"/>
        </w:rPr>
      </w:pPr>
    </w:p>
    <w:tbl>
      <w:tblPr>
        <w:tblStyle w:val="7"/>
        <w:tblW w:w="504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20"/>
        <w:gridCol w:w="3248"/>
        <w:gridCol w:w="1674"/>
        <w:gridCol w:w="2011"/>
        <w:gridCol w:w="1218"/>
      </w:tblGrid>
      <w:tr w14:paraId="42933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36" w:type="pct"/>
            <w:gridSpan w:val="2"/>
            <w:tcBorders>
              <w:bottom w:val="nil"/>
            </w:tcBorders>
            <w:vAlign w:val="center"/>
          </w:tcPr>
          <w:p w14:paraId="6A33D6F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被征地单位</w:t>
            </w:r>
          </w:p>
        </w:tc>
        <w:tc>
          <w:tcPr>
            <w:tcW w:w="943" w:type="pct"/>
            <w:tcBorders/>
            <w:vAlign w:val="center"/>
          </w:tcPr>
          <w:p w14:paraId="115697A6">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征收土地面积</w:t>
            </w:r>
          </w:p>
        </w:tc>
        <w:tc>
          <w:tcPr>
            <w:tcW w:w="1133" w:type="pct"/>
            <w:tcBorders>
              <w:bottom w:val="nil"/>
            </w:tcBorders>
            <w:vAlign w:val="center"/>
          </w:tcPr>
          <w:p w14:paraId="50F2045C">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其中</w:t>
            </w:r>
            <w:r>
              <w:rPr>
                <w:rFonts w:hint="default" w:ascii="Times New Roman" w:hAnsi="Times New Roman" w:eastAsia="宋体" w:cs="Times New Roman"/>
                <w:sz w:val="24"/>
                <w:szCs w:val="24"/>
              </w:rPr>
              <w:t>属于被征地单位留用地面积</w:t>
            </w:r>
          </w:p>
        </w:tc>
        <w:tc>
          <w:tcPr>
            <w:tcW w:w="686" w:type="pct"/>
            <w:tcBorders>
              <w:bottom w:val="nil"/>
            </w:tcBorders>
            <w:vAlign w:val="center"/>
          </w:tcPr>
          <w:p w14:paraId="2909AFAD">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需计提征</w:t>
            </w:r>
          </w:p>
          <w:p w14:paraId="1BF87465">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地社保费</w:t>
            </w:r>
          </w:p>
        </w:tc>
      </w:tr>
      <w:tr w14:paraId="32397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406" w:type="pct"/>
            <w:vMerge w:val="restart"/>
            <w:textDirection w:val="tbRlV"/>
            <w:vAlign w:val="center"/>
          </w:tcPr>
          <w:p w14:paraId="75EBFFEB">
            <w:pPr>
              <w:pStyle w:val="8"/>
              <w:spacing w:before="158" w:line="201" w:lineRule="auto"/>
              <w:ind w:left="688"/>
              <w:jc w:val="center"/>
              <w:rPr>
                <w:rFonts w:hint="default" w:ascii="Times New Roman" w:hAnsi="Times New Roman" w:eastAsia="宋体" w:cs="Times New Roman"/>
                <w:lang w:eastAsia="zh-CN"/>
              </w:rPr>
            </w:pPr>
            <w:r>
              <w:rPr>
                <w:rFonts w:hint="default" w:ascii="Times New Roman" w:hAnsi="Times New Roman" w:cs="Times New Roman"/>
                <w:lang w:val="en-US" w:eastAsia="zh-CN"/>
              </w:rPr>
              <w:t>花城街</w:t>
            </w:r>
          </w:p>
        </w:tc>
        <w:tc>
          <w:tcPr>
            <w:tcW w:w="1829" w:type="pct"/>
            <w:shd w:val="clear" w:color="auto" w:fill="auto"/>
            <w:vAlign w:val="center"/>
          </w:tcPr>
          <w:p w14:paraId="1FE0BE9A">
            <w:pPr>
              <w:widowControl/>
              <w:shd w:val="clear" w:color="auto" w:fill="auto"/>
              <w:spacing w:line="300" w:lineRule="exact"/>
              <w:ind w:left="-25" w:leftChars="-12"/>
              <w:jc w:val="center"/>
              <w:rPr>
                <w:rFonts w:hint="default" w:ascii="Times New Roman" w:hAnsi="Times New Roman" w:eastAsia="宋体" w:cs="Times New Roman"/>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三东村三辄第二经济合作社、三东村三辄第一经济合作社</w:t>
            </w:r>
          </w:p>
          <w:p w14:paraId="74F97E1A">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（共有）</w:t>
            </w:r>
          </w:p>
        </w:tc>
        <w:tc>
          <w:tcPr>
            <w:tcW w:w="943" w:type="pct"/>
            <w:shd w:val="clear" w:color="auto" w:fill="auto"/>
            <w:vAlign w:val="center"/>
          </w:tcPr>
          <w:p w14:paraId="7084CD84">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7.4745</w:t>
            </w:r>
          </w:p>
        </w:tc>
        <w:tc>
          <w:tcPr>
            <w:tcW w:w="1133" w:type="pct"/>
            <w:shd w:val="clear"/>
            <w:vAlign w:val="center"/>
          </w:tcPr>
          <w:p w14:paraId="44F4FB3B">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33B2BA7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16</w:t>
            </w:r>
          </w:p>
        </w:tc>
      </w:tr>
      <w:tr w14:paraId="1324E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6" w:type="pct"/>
            <w:vMerge w:val="continue"/>
            <w:tcBorders/>
            <w:textDirection w:val="tbRlV"/>
            <w:vAlign w:val="center"/>
          </w:tcPr>
          <w:p w14:paraId="21AB5FE3">
            <w:pPr>
              <w:jc w:val="center"/>
              <w:rPr>
                <w:rFonts w:hint="default" w:ascii="Times New Roman" w:hAnsi="Times New Roman" w:cs="Times New Roman"/>
                <w:sz w:val="21"/>
              </w:rPr>
            </w:pPr>
          </w:p>
        </w:tc>
        <w:tc>
          <w:tcPr>
            <w:tcW w:w="1829" w:type="pct"/>
            <w:shd w:val="clear" w:color="auto" w:fill="auto"/>
            <w:vAlign w:val="center"/>
          </w:tcPr>
          <w:p w14:paraId="3BB6C1DD">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三东村三辄第二经济合作社</w:t>
            </w:r>
          </w:p>
        </w:tc>
        <w:tc>
          <w:tcPr>
            <w:tcW w:w="943" w:type="pct"/>
            <w:shd w:val="clear" w:color="auto" w:fill="auto"/>
            <w:vAlign w:val="center"/>
          </w:tcPr>
          <w:p w14:paraId="1D703865">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2.298</w:t>
            </w:r>
          </w:p>
        </w:tc>
        <w:tc>
          <w:tcPr>
            <w:tcW w:w="1133" w:type="pct"/>
            <w:shd w:val="clear"/>
            <w:vAlign w:val="center"/>
          </w:tcPr>
          <w:p w14:paraId="30F94930">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01C95DE4">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4.92</w:t>
            </w:r>
          </w:p>
        </w:tc>
      </w:tr>
      <w:tr w14:paraId="1A049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6" w:type="pct"/>
            <w:vMerge w:val="continue"/>
            <w:tcBorders/>
            <w:textDirection w:val="tbRlV"/>
            <w:vAlign w:val="center"/>
          </w:tcPr>
          <w:p w14:paraId="2CEB098D">
            <w:pPr>
              <w:jc w:val="center"/>
              <w:rPr>
                <w:rFonts w:hint="default" w:ascii="Times New Roman" w:hAnsi="Times New Roman" w:cs="Times New Roman"/>
                <w:sz w:val="21"/>
              </w:rPr>
            </w:pPr>
          </w:p>
        </w:tc>
        <w:tc>
          <w:tcPr>
            <w:tcW w:w="1829" w:type="pct"/>
            <w:shd w:val="clear" w:color="auto" w:fill="auto"/>
            <w:vAlign w:val="center"/>
          </w:tcPr>
          <w:p w14:paraId="504838A0">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石岗村东仁二经济合作社</w:t>
            </w:r>
          </w:p>
        </w:tc>
        <w:tc>
          <w:tcPr>
            <w:tcW w:w="943" w:type="pct"/>
            <w:shd w:val="clear" w:color="auto" w:fill="auto"/>
            <w:vAlign w:val="center"/>
          </w:tcPr>
          <w:p w14:paraId="4AA0B31C">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2.604</w:t>
            </w:r>
          </w:p>
        </w:tc>
        <w:tc>
          <w:tcPr>
            <w:tcW w:w="1133" w:type="pct"/>
            <w:shd w:val="clear"/>
            <w:vAlign w:val="center"/>
          </w:tcPr>
          <w:p w14:paraId="35286AC5">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13BE274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5.58</w:t>
            </w:r>
          </w:p>
        </w:tc>
      </w:tr>
      <w:tr w14:paraId="311D8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6" w:type="pct"/>
            <w:vMerge w:val="continue"/>
            <w:tcBorders/>
            <w:textDirection w:val="tbRlV"/>
            <w:vAlign w:val="center"/>
          </w:tcPr>
          <w:p w14:paraId="7FF49AD7">
            <w:pPr>
              <w:jc w:val="center"/>
              <w:rPr>
                <w:rFonts w:hint="default" w:ascii="Times New Roman" w:hAnsi="Times New Roman" w:cs="Times New Roman"/>
                <w:sz w:val="21"/>
              </w:rPr>
            </w:pPr>
          </w:p>
        </w:tc>
        <w:tc>
          <w:tcPr>
            <w:tcW w:w="1829" w:type="pct"/>
            <w:shd w:val="clear" w:color="auto" w:fill="auto"/>
            <w:vAlign w:val="center"/>
          </w:tcPr>
          <w:p w14:paraId="3137152F">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石岗村经济联合社</w:t>
            </w:r>
          </w:p>
        </w:tc>
        <w:tc>
          <w:tcPr>
            <w:tcW w:w="943" w:type="pct"/>
            <w:shd w:val="clear" w:color="auto" w:fill="auto"/>
            <w:vAlign w:val="center"/>
          </w:tcPr>
          <w:p w14:paraId="355AB2EB">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0.2205</w:t>
            </w:r>
          </w:p>
        </w:tc>
        <w:tc>
          <w:tcPr>
            <w:tcW w:w="1133" w:type="pct"/>
            <w:shd w:val="clear"/>
            <w:vAlign w:val="center"/>
          </w:tcPr>
          <w:p w14:paraId="58F940AF">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29504046">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lang w:val="en-US" w:eastAsia="zh-CN"/>
              </w:rPr>
            </w:pPr>
            <w:r>
              <w:rPr>
                <w:rFonts w:hint="default" w:ascii="Times New Roman" w:hAnsi="Times New Roman" w:eastAsia="宋体" w:cs="Times New Roman"/>
                <w:spacing w:val="-2"/>
                <w:lang w:val="en-US" w:eastAsia="zh-CN"/>
              </w:rPr>
              <w:t>0.48</w:t>
            </w:r>
          </w:p>
        </w:tc>
      </w:tr>
      <w:tr w14:paraId="43511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6" w:type="pct"/>
            <w:vMerge w:val="continue"/>
            <w:tcBorders/>
            <w:textDirection w:val="tbRlV"/>
            <w:vAlign w:val="center"/>
          </w:tcPr>
          <w:p w14:paraId="7A6EFB51">
            <w:pPr>
              <w:jc w:val="center"/>
              <w:rPr>
                <w:rFonts w:hint="default" w:ascii="Times New Roman" w:hAnsi="Times New Roman" w:cs="Times New Roman"/>
                <w:sz w:val="21"/>
              </w:rPr>
            </w:pPr>
          </w:p>
        </w:tc>
        <w:tc>
          <w:tcPr>
            <w:tcW w:w="1829" w:type="pct"/>
            <w:shd w:val="clear" w:color="auto" w:fill="auto"/>
            <w:vAlign w:val="center"/>
          </w:tcPr>
          <w:p w14:paraId="7EBB0744">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石岗村蟠龙经济合作社</w:t>
            </w:r>
          </w:p>
        </w:tc>
        <w:tc>
          <w:tcPr>
            <w:tcW w:w="943" w:type="pct"/>
            <w:shd w:val="clear" w:color="auto" w:fill="auto"/>
            <w:vAlign w:val="center"/>
          </w:tcPr>
          <w:p w14:paraId="02FFFD1C">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1.40</w:t>
            </w:r>
            <w:bookmarkStart w:id="0" w:name="_GoBack"/>
            <w:bookmarkEnd w:id="0"/>
            <w:r>
              <w:rPr>
                <w:rFonts w:hint="default" w:ascii="Times New Roman" w:hAnsi="Times New Roman" w:eastAsia="宋体" w:cs="Times New Roman"/>
                <w:color w:val="auto"/>
                <w:kern w:val="0"/>
                <w:sz w:val="24"/>
                <w:szCs w:val="24"/>
                <w:shd w:val="clear" w:color="auto" w:fill="auto"/>
                <w:lang w:val="en-US" w:eastAsia="zh-CN" w:bidi="ar-SA"/>
              </w:rPr>
              <w:t>25</w:t>
            </w:r>
          </w:p>
        </w:tc>
        <w:tc>
          <w:tcPr>
            <w:tcW w:w="1133" w:type="pct"/>
            <w:shd w:val="clear"/>
            <w:vAlign w:val="center"/>
          </w:tcPr>
          <w:p w14:paraId="2FFB4489">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3123C86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lang w:val="en-US" w:eastAsia="zh-CN"/>
              </w:rPr>
            </w:pPr>
            <w:r>
              <w:rPr>
                <w:rFonts w:hint="default" w:ascii="Times New Roman" w:hAnsi="Times New Roman" w:eastAsia="宋体" w:cs="Times New Roman"/>
                <w:spacing w:val="-2"/>
                <w:lang w:val="en-US" w:eastAsia="zh-CN"/>
              </w:rPr>
              <w:t>3.01</w:t>
            </w:r>
          </w:p>
        </w:tc>
      </w:tr>
      <w:tr w14:paraId="28D0B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6" w:type="pct"/>
            <w:vMerge w:val="continue"/>
            <w:tcBorders/>
            <w:textDirection w:val="tbRlV"/>
            <w:vAlign w:val="center"/>
          </w:tcPr>
          <w:p w14:paraId="351F44A1">
            <w:pPr>
              <w:jc w:val="center"/>
              <w:rPr>
                <w:rFonts w:hint="default" w:ascii="Times New Roman" w:hAnsi="Times New Roman" w:cs="Times New Roman"/>
                <w:sz w:val="21"/>
              </w:rPr>
            </w:pPr>
          </w:p>
        </w:tc>
        <w:tc>
          <w:tcPr>
            <w:tcW w:w="1829" w:type="pct"/>
            <w:shd w:val="clear" w:color="auto" w:fill="auto"/>
            <w:vAlign w:val="center"/>
          </w:tcPr>
          <w:p w14:paraId="7F5C10C6">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石岗村西荣二经济合作社</w:t>
            </w:r>
          </w:p>
        </w:tc>
        <w:tc>
          <w:tcPr>
            <w:tcW w:w="943" w:type="pct"/>
            <w:shd w:val="clear" w:color="auto" w:fill="auto"/>
            <w:vAlign w:val="center"/>
          </w:tcPr>
          <w:p w14:paraId="3E46FC47">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1.644</w:t>
            </w:r>
          </w:p>
        </w:tc>
        <w:tc>
          <w:tcPr>
            <w:tcW w:w="1133" w:type="pct"/>
            <w:shd w:val="clear"/>
            <w:vAlign w:val="center"/>
          </w:tcPr>
          <w:p w14:paraId="3A77EF83">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33673D5B">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lang w:val="en-US" w:eastAsia="zh-CN"/>
              </w:rPr>
            </w:pPr>
            <w:r>
              <w:rPr>
                <w:rFonts w:hint="default" w:ascii="Times New Roman" w:hAnsi="Times New Roman" w:eastAsia="宋体" w:cs="Times New Roman"/>
                <w:spacing w:val="-2"/>
                <w:lang w:val="en-US" w:eastAsia="zh-CN"/>
              </w:rPr>
              <w:t>3.52</w:t>
            </w:r>
          </w:p>
        </w:tc>
      </w:tr>
      <w:tr w14:paraId="73B20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6" w:type="pct"/>
            <w:vMerge w:val="continue"/>
            <w:tcBorders/>
            <w:textDirection w:val="tbRlV"/>
            <w:vAlign w:val="center"/>
          </w:tcPr>
          <w:p w14:paraId="70E75C1F">
            <w:pPr>
              <w:jc w:val="center"/>
              <w:rPr>
                <w:rFonts w:hint="default" w:ascii="Times New Roman" w:hAnsi="Times New Roman" w:cs="Times New Roman"/>
                <w:sz w:val="21"/>
              </w:rPr>
            </w:pPr>
          </w:p>
        </w:tc>
        <w:tc>
          <w:tcPr>
            <w:tcW w:w="1829" w:type="pct"/>
            <w:shd w:val="clear" w:color="auto" w:fill="auto"/>
            <w:vAlign w:val="center"/>
          </w:tcPr>
          <w:p w14:paraId="12983129">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石岗村西荣三经济合作社</w:t>
            </w:r>
          </w:p>
        </w:tc>
        <w:tc>
          <w:tcPr>
            <w:tcW w:w="943" w:type="pct"/>
            <w:shd w:val="clear" w:color="auto" w:fill="auto"/>
            <w:vAlign w:val="center"/>
          </w:tcPr>
          <w:p w14:paraId="59F4C2A3">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0.2505</w:t>
            </w:r>
          </w:p>
        </w:tc>
        <w:tc>
          <w:tcPr>
            <w:tcW w:w="1133" w:type="pct"/>
            <w:shd w:val="clear"/>
            <w:vAlign w:val="center"/>
          </w:tcPr>
          <w:p w14:paraId="73ACAE56">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1601FFE9">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lang w:val="en-US" w:eastAsia="zh-CN"/>
              </w:rPr>
            </w:pPr>
            <w:r>
              <w:rPr>
                <w:rFonts w:hint="default" w:ascii="Times New Roman" w:hAnsi="Times New Roman" w:eastAsia="宋体" w:cs="Times New Roman"/>
                <w:spacing w:val="-2"/>
                <w:lang w:val="en-US" w:eastAsia="zh-CN"/>
              </w:rPr>
              <w:t>0.54</w:t>
            </w:r>
          </w:p>
        </w:tc>
      </w:tr>
      <w:tr w14:paraId="63D73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6" w:type="pct"/>
            <w:vMerge w:val="continue"/>
            <w:tcBorders/>
            <w:textDirection w:val="tbRlV"/>
            <w:vAlign w:val="center"/>
          </w:tcPr>
          <w:p w14:paraId="49E0A25F">
            <w:pPr>
              <w:jc w:val="center"/>
              <w:rPr>
                <w:rFonts w:hint="default" w:ascii="Times New Roman" w:hAnsi="Times New Roman" w:cs="Times New Roman"/>
                <w:sz w:val="21"/>
              </w:rPr>
            </w:pPr>
          </w:p>
        </w:tc>
        <w:tc>
          <w:tcPr>
            <w:tcW w:w="1829" w:type="pct"/>
            <w:shd w:val="clear" w:color="auto" w:fill="auto"/>
            <w:vAlign w:val="center"/>
          </w:tcPr>
          <w:p w14:paraId="569D94F4">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石岗村西荣一经济合作社</w:t>
            </w:r>
          </w:p>
        </w:tc>
        <w:tc>
          <w:tcPr>
            <w:tcW w:w="943" w:type="pct"/>
            <w:shd w:val="clear" w:color="auto" w:fill="auto"/>
            <w:vAlign w:val="center"/>
          </w:tcPr>
          <w:p w14:paraId="230DDB3B">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0.4245</w:t>
            </w:r>
          </w:p>
        </w:tc>
        <w:tc>
          <w:tcPr>
            <w:tcW w:w="1133" w:type="pct"/>
            <w:shd w:val="clear"/>
            <w:vAlign w:val="center"/>
          </w:tcPr>
          <w:p w14:paraId="18CD8AD3">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192FB3C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lang w:val="en-US" w:eastAsia="zh-CN"/>
              </w:rPr>
            </w:pPr>
            <w:r>
              <w:rPr>
                <w:rFonts w:hint="default" w:ascii="Times New Roman" w:hAnsi="Times New Roman" w:eastAsia="宋体" w:cs="Times New Roman"/>
                <w:spacing w:val="-2"/>
                <w:lang w:val="en-US" w:eastAsia="zh-CN"/>
              </w:rPr>
              <w:t>0.91</w:t>
            </w:r>
          </w:p>
        </w:tc>
      </w:tr>
      <w:tr w14:paraId="40E37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406" w:type="pct"/>
            <w:vMerge w:val="continue"/>
            <w:tcBorders/>
            <w:textDirection w:val="tbRlV"/>
            <w:vAlign w:val="center"/>
          </w:tcPr>
          <w:p w14:paraId="0F2B4ECE">
            <w:pPr>
              <w:jc w:val="center"/>
              <w:rPr>
                <w:rFonts w:hint="default" w:ascii="Times New Roman" w:hAnsi="Times New Roman" w:cs="Times New Roman"/>
                <w:sz w:val="21"/>
              </w:rPr>
            </w:pPr>
          </w:p>
        </w:tc>
        <w:tc>
          <w:tcPr>
            <w:tcW w:w="1829" w:type="pct"/>
            <w:shd w:val="clear" w:color="auto" w:fill="auto"/>
            <w:vAlign w:val="center"/>
          </w:tcPr>
          <w:p w14:paraId="3BDFBB12">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bidi="ar-SA"/>
              </w:rPr>
              <w:t>石岗村下谭经济合作社</w:t>
            </w:r>
          </w:p>
        </w:tc>
        <w:tc>
          <w:tcPr>
            <w:tcW w:w="943" w:type="pct"/>
            <w:shd w:val="clear" w:color="auto" w:fill="auto"/>
            <w:vAlign w:val="center"/>
          </w:tcPr>
          <w:p w14:paraId="22116A73">
            <w:pPr>
              <w:widowControl/>
              <w:shd w:val="clear" w:color="auto" w:fill="auto"/>
              <w:spacing w:line="300" w:lineRule="exact"/>
              <w:ind w:left="-25" w:leftChars="-12"/>
              <w:jc w:val="center"/>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11.6865</w:t>
            </w:r>
          </w:p>
        </w:tc>
        <w:tc>
          <w:tcPr>
            <w:tcW w:w="1133" w:type="pct"/>
            <w:shd w:val="clear"/>
            <w:vAlign w:val="center"/>
          </w:tcPr>
          <w:p w14:paraId="4C5D8FF8">
            <w:pPr>
              <w:keepNext w:val="0"/>
              <w:keepLines w:val="0"/>
              <w:pageBreakBefore w:val="0"/>
              <w:widowControl/>
              <w:shd w:val="clear" w:color="auto" w:fill="auto"/>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napToGrid w:val="0"/>
                <w:color w:val="auto"/>
                <w:kern w:val="0"/>
                <w:sz w:val="24"/>
                <w:szCs w:val="24"/>
                <w:shd w:val="clear" w:color="auto" w:fill="auto"/>
                <w:lang w:val="en-US" w:eastAsia="zh-CN" w:bidi="ar-SA"/>
              </w:rPr>
            </w:pPr>
            <w:r>
              <w:rPr>
                <w:rFonts w:hint="default" w:ascii="Times New Roman" w:hAnsi="Times New Roman" w:eastAsia="宋体" w:cs="Times New Roman"/>
                <w:color w:val="auto"/>
                <w:kern w:val="0"/>
                <w:sz w:val="24"/>
                <w:szCs w:val="24"/>
                <w:shd w:val="clear" w:color="auto" w:fill="auto"/>
                <w:lang w:val="en-US" w:eastAsia="zh-CN" w:bidi="ar-SA"/>
              </w:rPr>
              <w:t>0</w:t>
            </w:r>
          </w:p>
        </w:tc>
        <w:tc>
          <w:tcPr>
            <w:tcW w:w="686" w:type="pct"/>
            <w:vAlign w:val="center"/>
          </w:tcPr>
          <w:p w14:paraId="00838DE0">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default" w:ascii="Times New Roman" w:hAnsi="Times New Roman" w:eastAsia="宋体" w:cs="Times New Roman"/>
                <w:spacing w:val="-2"/>
                <w:lang w:val="en-US" w:eastAsia="zh-CN"/>
              </w:rPr>
            </w:pPr>
            <w:r>
              <w:rPr>
                <w:rFonts w:hint="default" w:ascii="Times New Roman" w:hAnsi="Times New Roman" w:eastAsia="宋体" w:cs="Times New Roman"/>
                <w:spacing w:val="-2"/>
                <w:lang w:val="en-US" w:eastAsia="zh-CN"/>
              </w:rPr>
              <w:t>25.01</w:t>
            </w:r>
          </w:p>
        </w:tc>
      </w:tr>
      <w:tr w14:paraId="04B33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236" w:type="pct"/>
            <w:gridSpan w:val="2"/>
            <w:vAlign w:val="center"/>
          </w:tcPr>
          <w:p w14:paraId="13F909DD">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rPr>
            </w:pPr>
            <w:r>
              <w:rPr>
                <w:rFonts w:hint="default" w:ascii="Times New Roman" w:hAnsi="Times New Roman" w:eastAsia="宋体" w:cs="Times New Roman"/>
                <w:spacing w:val="-6"/>
              </w:rPr>
              <w:t>合计</w:t>
            </w:r>
          </w:p>
        </w:tc>
        <w:tc>
          <w:tcPr>
            <w:tcW w:w="943" w:type="pct"/>
            <w:vAlign w:val="center"/>
          </w:tcPr>
          <w:p w14:paraId="2FABAEAF">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28.005</w:t>
            </w:r>
          </w:p>
        </w:tc>
        <w:tc>
          <w:tcPr>
            <w:tcW w:w="1133" w:type="pct"/>
            <w:vAlign w:val="center"/>
          </w:tcPr>
          <w:p w14:paraId="188073FE">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0</w:t>
            </w:r>
          </w:p>
        </w:tc>
        <w:tc>
          <w:tcPr>
            <w:tcW w:w="686" w:type="pct"/>
            <w:vAlign w:val="center"/>
          </w:tcPr>
          <w:p w14:paraId="435E3335">
            <w:pPr>
              <w:pStyle w:val="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59.97</w:t>
            </w:r>
          </w:p>
        </w:tc>
      </w:tr>
    </w:tbl>
    <w:p w14:paraId="152BFD3F">
      <w:pPr>
        <w:spacing w:before="55" w:line="219" w:lineRule="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备注：该项目按 2.14万元/亩的标准计提征地社保费，即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按征地补偿安置方案制定时，花都区平均每亩征收农用地区片综合地价13.33万元/亩的16%。属于农村集体经济组织留用地的，按规定不计提征地社保费。</w:t>
      </w:r>
    </w:p>
    <w:sectPr>
      <w:footerReference r:id="rId6" w:type="default"/>
      <w:pgSz w:w="11910" w:h="16850"/>
      <w:pgMar w:top="1432" w:right="1524" w:bottom="1706" w:left="1609" w:header="0" w:footer="130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48DEC">
    <w:pPr>
      <w:spacing w:line="233" w:lineRule="auto"/>
      <w:ind w:left="7219"/>
      <w:rPr>
        <w:rFonts w:ascii="宋体" w:hAnsi="宋体" w:eastAsia="宋体" w:cs="宋体"/>
        <w:sz w:val="31"/>
        <w:szCs w:val="31"/>
      </w:rPr>
    </w:pPr>
    <w:r>
      <w:rPr>
        <w:rFonts w:ascii="宋体" w:hAnsi="宋体" w:eastAsia="宋体" w:cs="宋体"/>
        <w:spacing w:val="-4"/>
        <w:sz w:val="31"/>
        <w:szCs w:val="31"/>
      </w:rPr>
      <w:t>—3</w:t>
    </w:r>
    <w:r>
      <w:rPr>
        <w:rFonts w:ascii="宋体" w:hAnsi="宋体" w:eastAsia="宋体" w:cs="宋体"/>
        <w:spacing w:val="68"/>
        <w:sz w:val="31"/>
        <w:szCs w:val="31"/>
      </w:rPr>
      <w:t xml:space="preserve">  </w:t>
    </w:r>
    <w:r>
      <w:rPr>
        <w:rFonts w:ascii="宋体" w:hAnsi="宋体" w:eastAsia="宋体" w:cs="宋体"/>
        <w:spacing w:val="-4"/>
        <w:sz w:val="31"/>
        <w:szCs w:val="3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C1CC9">
    <w:pPr>
      <w:spacing w:line="235" w:lineRule="auto"/>
      <w:ind w:left="300"/>
      <w:rPr>
        <w:rFonts w:ascii="宋体" w:hAnsi="宋体" w:eastAsia="宋体" w:cs="宋体"/>
        <w:sz w:val="31"/>
        <w:szCs w:val="31"/>
      </w:rPr>
    </w:pPr>
    <w:r>
      <w:rPr>
        <w:rFonts w:ascii="宋体" w:hAnsi="宋体" w:eastAsia="宋体" w:cs="宋体"/>
        <w:spacing w:val="-7"/>
        <w:sz w:val="31"/>
        <w:szCs w:val="31"/>
      </w:rPr>
      <w:t>—</w:t>
    </w:r>
    <w:r>
      <w:rPr>
        <w:rFonts w:ascii="宋体" w:hAnsi="宋体" w:eastAsia="宋体" w:cs="宋体"/>
        <w:spacing w:val="54"/>
        <w:sz w:val="31"/>
        <w:szCs w:val="31"/>
      </w:rPr>
      <w:t xml:space="preserve"> </w:t>
    </w:r>
    <w:r>
      <w:rPr>
        <w:rFonts w:ascii="宋体" w:hAnsi="宋体" w:eastAsia="宋体" w:cs="宋体"/>
        <w:spacing w:val="-7"/>
        <w:sz w:val="31"/>
        <w:szCs w:val="31"/>
      </w:rPr>
      <w:t>4</w:t>
    </w:r>
    <w:r>
      <w:rPr>
        <w:rFonts w:ascii="宋体" w:hAnsi="宋体" w:eastAsia="宋体" w:cs="宋体"/>
        <w:spacing w:val="91"/>
        <w:sz w:val="31"/>
        <w:szCs w:val="31"/>
      </w:rPr>
      <w:t xml:space="preserve"> </w:t>
    </w:r>
    <w:r>
      <w:rPr>
        <w:rFonts w:ascii="宋体" w:hAnsi="宋体" w:eastAsia="宋体" w:cs="宋体"/>
        <w:spacing w:val="-7"/>
        <w:sz w:val="31"/>
        <w:szCs w:val="3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573694A"/>
    <w:rsid w:val="27483067"/>
    <w:rsid w:val="27AD4EAF"/>
    <w:rsid w:val="32A63A63"/>
    <w:rsid w:val="39B6343D"/>
    <w:rsid w:val="40713247"/>
    <w:rsid w:val="491F4CE5"/>
    <w:rsid w:val="551E7032"/>
    <w:rsid w:val="5C431A63"/>
    <w:rsid w:val="5EDD1C99"/>
    <w:rsid w:val="66EA76BB"/>
    <w:rsid w:val="730E64E5"/>
    <w:rsid w:val="7318110C"/>
    <w:rsid w:val="768B79D3"/>
    <w:rsid w:val="79982FA7"/>
    <w:rsid w:val="7B6D7A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ody Text"/>
    <w:basedOn w:val="1"/>
    <w:semiHidden/>
    <w:qFormat/>
    <w:uiPriority w:val="0"/>
    <w:rPr>
      <w:rFonts w:ascii="仿宋" w:hAnsi="仿宋" w:eastAsia="仿宋" w:cs="仿宋"/>
      <w:sz w:val="32"/>
      <w:szCs w:val="32"/>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1231</Words>
  <Characters>1377</Characters>
  <TotalTime>4</TotalTime>
  <ScaleCrop>false</ScaleCrop>
  <LinksUpToDate>false</LinksUpToDate>
  <CharactersWithSpaces>1421</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2025-10-23T15:06:00Z</dcterms:created>
  <dc:creator>Administrator</dc:creator>
  <cp:lastModifiedBy>bomb</cp:lastModifiedBy>
  <dcterms:modified xsi:type="dcterms:W3CDTF">2025-10-27T07:19:51Z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2025-10-23T15:06:52Z</vt:filetime>
  </property>
  <property fmtid="{D5CDD505-2E9C-101B-9397-08002B2CF9AE}" pid="4" name="UsrData">
    <vt:lpwstr>68f9d40aacaf39001fa2f285wl</vt:lpwstr>
  </property>
  <property fmtid="{D5CDD505-2E9C-101B-9397-08002B2CF9AE}" pid="5" name="KSOTemplateDocerSaveRecord">
    <vt:lpwstr>eyJoZGlkIjoiMzEwNTM5NzYwMDRjMzkwZTVkZjY2ODkwMGIxNGU0OTUiLCJ1c2VySWQiOiIzODc5ODc4ODEifQ==</vt:lpwstr>
  </property>
  <property fmtid="{D5CDD505-2E9C-101B-9397-08002B2CF9AE}" pid="6" name="KSOProductBuildVer">
    <vt:lpwstr>2052-12.1.0.20784</vt:lpwstr>
  </property>
  <property fmtid="{D5CDD505-2E9C-101B-9397-08002B2CF9AE}" pid="7" name="ICV">
    <vt:lpwstr>84FBDFA934B947348DD51DC91183D245_13</vt:lpwstr>
  </property>
</Properties>
</file>