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eastAsia" w:ascii="黑体" w:hAnsi="黑体" w:eastAsia="黑体" w:cs="黑体"/>
          <w:lang w:val="en-US" w:eastAsia="zh-CN"/>
        </w:rPr>
      </w:pPr>
      <w:r>
        <w:rPr>
          <w:rFonts w:hint="eastAsia" w:ascii="黑体" w:hAnsi="黑体" w:eastAsia="黑体" w:cs="黑体"/>
          <w:lang w:val="en-US" w:eastAsia="zh-CN"/>
        </w:rPr>
        <w:t>附件2</w:t>
      </w:r>
    </w:p>
    <w:p>
      <w:pPr>
        <w:pStyle w:val="2"/>
        <w:keepNext w:val="0"/>
        <w:keepLines w:val="0"/>
        <w:pageBreakBefore w:val="0"/>
        <w:kinsoku/>
        <w:wordWrap/>
        <w:overflowPunct/>
        <w:topLinePunct w:val="0"/>
        <w:autoSpaceDE/>
        <w:autoSpaceDN/>
        <w:bidi w:val="0"/>
        <w:adjustRightInd/>
        <w:snapToGrid w:val="0"/>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关于广州市南沙区2025年度第</w:t>
      </w:r>
      <w:r>
        <w:rPr>
          <w:rFonts w:hint="eastAsia" w:ascii="方正小标宋简体" w:hAnsi="方正小标宋简体" w:eastAsia="方正小标宋简体" w:cs="方正小标宋简体"/>
          <w:bCs/>
          <w:color w:val="000000"/>
          <w:sz w:val="44"/>
          <w:szCs w:val="44"/>
          <w:lang w:eastAsia="zh-CN"/>
        </w:rPr>
        <w:t>一</w:t>
      </w:r>
      <w:r>
        <w:rPr>
          <w:rFonts w:hint="eastAsia" w:ascii="方正小标宋简体" w:hAnsi="方正小标宋简体" w:eastAsia="方正小标宋简体" w:cs="方正小标宋简体"/>
          <w:bCs/>
          <w:color w:val="000000"/>
          <w:sz w:val="44"/>
          <w:szCs w:val="44"/>
        </w:rPr>
        <w:t>百零</w:t>
      </w:r>
      <w:r>
        <w:rPr>
          <w:rFonts w:hint="eastAsia" w:ascii="方正小标宋简体" w:hAnsi="方正小标宋简体" w:eastAsia="方正小标宋简体" w:cs="方正小标宋简体"/>
          <w:bCs/>
          <w:color w:val="000000"/>
          <w:sz w:val="44"/>
          <w:szCs w:val="44"/>
          <w:lang w:eastAsia="zh-CN"/>
        </w:rPr>
        <w:t>一</w:t>
      </w:r>
      <w:r>
        <w:rPr>
          <w:rFonts w:hint="eastAsia" w:ascii="方正小标宋简体" w:hAnsi="方正小标宋简体" w:eastAsia="方正小标宋简体" w:cs="方正小标宋简体"/>
          <w:bCs/>
          <w:color w:val="000000"/>
          <w:sz w:val="44"/>
          <w:szCs w:val="44"/>
        </w:rPr>
        <w:t>批次</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城镇建设用地征地项目被征地农民</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仿宋" w:eastAsia="方正小标宋简体" w:cs="宋体"/>
          <w:bCs/>
          <w:sz w:val="44"/>
          <w:szCs w:val="44"/>
        </w:rPr>
      </w:pPr>
      <w:r>
        <w:rPr>
          <w:rFonts w:hint="eastAsia" w:ascii="方正小标宋简体" w:hAnsi="方正小标宋简体" w:eastAsia="方正小标宋简体" w:cs="方正小标宋简体"/>
          <w:bCs/>
          <w:color w:val="000000"/>
          <w:sz w:val="44"/>
          <w:szCs w:val="44"/>
        </w:rPr>
        <w:t>养老保障方案</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jc w:val="left"/>
        <w:textAlignment w:val="auto"/>
        <w:rPr>
          <w:rFonts w:hint="eastAsia" w:ascii="仿宋_GB2312" w:hAnsi="仿宋_GB2312" w:cs="仿宋_GB2312"/>
          <w:color w:val="000000"/>
          <w:kern w:val="0"/>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kern w:val="0"/>
          <w:shd w:val="clear" w:color="auto" w:fill="FFFFFF"/>
          <w:lang w:bidi="ar"/>
        </w:rPr>
      </w:pPr>
      <w:r>
        <w:rPr>
          <w:rFonts w:hint="default" w:ascii="Times New Roman" w:hAnsi="Times New Roman" w:cs="Times New Roman"/>
          <w:kern w:val="0"/>
          <w:shd w:val="clear" w:color="auto" w:fill="FFFFFF"/>
          <w:lang w:bidi="ar"/>
        </w:rPr>
        <w:t>依照</w:t>
      </w:r>
      <w:r>
        <w:rPr>
          <w:rFonts w:hint="default" w:ascii="Times New Roman" w:hAnsi="Times New Roman" w:cs="Times New Roman"/>
        </w:rPr>
        <w:t>《中华人民共和国土地管理法》、</w:t>
      </w:r>
      <w:r>
        <w:rPr>
          <w:rFonts w:hint="default" w:ascii="Times New Roman" w:hAnsi="Times New Roman" w:cs="Times New Roman"/>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2025年度第</w:t>
      </w:r>
      <w:r>
        <w:rPr>
          <w:rFonts w:hint="eastAsia" w:cs="Times New Roman"/>
          <w:kern w:val="0"/>
          <w:shd w:val="clear" w:color="auto" w:fill="FFFFFF"/>
          <w:lang w:eastAsia="zh-CN" w:bidi="ar"/>
        </w:rPr>
        <w:t>一百零一</w:t>
      </w:r>
      <w:r>
        <w:rPr>
          <w:rFonts w:hint="default" w:ascii="Times New Roman" w:hAnsi="Times New Roman" w:cs="Times New Roman"/>
          <w:kern w:val="0"/>
          <w:shd w:val="clear" w:color="auto" w:fill="FFFFFF"/>
          <w:lang w:bidi="ar"/>
        </w:rPr>
        <w:t>批次城镇建设用地</w:t>
      </w:r>
      <w:r>
        <w:rPr>
          <w:rFonts w:hint="default" w:ascii="Times New Roman" w:hAnsi="Times New Roman" w:cs="Times New Roman"/>
          <w:kern w:val="0"/>
          <w:shd w:val="clear" w:color="auto" w:fill="FFFFFF"/>
          <w:lang w:val="en-US" w:eastAsia="zh-CN" w:bidi="ar"/>
        </w:rPr>
        <w:t>项目</w:t>
      </w:r>
      <w:r>
        <w:rPr>
          <w:rFonts w:hint="default" w:ascii="Times New Roman" w:hAnsi="Times New Roman" w:cs="Times New Roman"/>
          <w:kern w:val="0"/>
          <w:shd w:val="clear" w:color="auto" w:fill="FFFFFF"/>
          <w:lang w:bidi="ar"/>
        </w:rPr>
        <w:t>被征地农民养老保障方案如下：</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kern w:val="0"/>
          <w:shd w:val="clear" w:color="auto" w:fill="FFFFFF"/>
          <w:lang w:bidi="ar"/>
        </w:rPr>
      </w:pPr>
      <w:r>
        <w:rPr>
          <w:rFonts w:hint="default" w:ascii="Times New Roman" w:hAnsi="Times New Roman" w:cs="Times New Roman"/>
          <w:kern w:val="0"/>
          <w:shd w:val="clear" w:color="auto" w:fill="FFFFFF"/>
          <w:lang w:bidi="ar"/>
        </w:rPr>
        <w:t>一、对广州市南沙区2025年度第</w:t>
      </w:r>
      <w:r>
        <w:rPr>
          <w:rFonts w:hint="eastAsia" w:ascii="Times New Roman" w:hAnsi="Times New Roman" w:cs="Times New Roman"/>
          <w:kern w:val="0"/>
          <w:shd w:val="clear" w:color="auto" w:fill="FFFFFF"/>
          <w:lang w:eastAsia="zh-CN" w:bidi="ar"/>
        </w:rPr>
        <w:t>一百零一</w:t>
      </w:r>
      <w:r>
        <w:rPr>
          <w:rFonts w:hint="default" w:ascii="Times New Roman" w:hAnsi="Times New Roman" w:cs="Times New Roman"/>
          <w:kern w:val="0"/>
          <w:shd w:val="clear" w:color="auto" w:fill="FFFFFF"/>
          <w:lang w:bidi="ar"/>
        </w:rPr>
        <w:t>批次城镇建设用地项目涉及的被征地农民实施社会养老保障。</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kern w:val="0"/>
          <w:shd w:val="clear" w:color="auto" w:fill="FFFFFF"/>
          <w:lang w:bidi="ar"/>
        </w:rPr>
        <w:t>二、征地社保费筹集。依据</w:t>
      </w:r>
      <w:r>
        <w:rPr>
          <w:rFonts w:hint="default" w:ascii="Times New Roman" w:hAnsi="Times New Roman" w:cs="Times New Roman"/>
          <w:kern w:val="0"/>
          <w:shd w:val="clear" w:color="auto" w:fill="FFFFFF"/>
          <w:lang w:val="en-US" w:eastAsia="zh-CN" w:bidi="ar"/>
        </w:rPr>
        <w:t>建设部门</w:t>
      </w:r>
      <w:r>
        <w:rPr>
          <w:rFonts w:hint="default" w:ascii="Times New Roman" w:hAnsi="Times New Roman" w:cs="Times New Roman"/>
          <w:kern w:val="0"/>
          <w:shd w:val="clear" w:color="auto" w:fill="FFFFFF"/>
          <w:lang w:bidi="ar"/>
        </w:rPr>
        <w:t>提供情况，该项目征收我区港湾街塘坑股份合作经济</w:t>
      </w:r>
      <w:r>
        <w:rPr>
          <w:rFonts w:hint="default" w:ascii="Times New Roman" w:hAnsi="Times New Roman" w:cs="Times New Roman"/>
          <w:szCs w:val="32"/>
        </w:rPr>
        <w:t>联合社</w:t>
      </w:r>
      <w:r>
        <w:rPr>
          <w:rFonts w:hint="default" w:ascii="Times New Roman" w:hAnsi="Times New Roman" w:cs="Times New Roman"/>
        </w:rPr>
        <w:t>土地面积共39.561亩，其中</w:t>
      </w:r>
      <w:r>
        <w:rPr>
          <w:rFonts w:hint="default" w:ascii="Times New Roman" w:hAnsi="Times New Roman" w:cs="Times New Roman"/>
          <w:lang w:val="en-US" w:eastAsia="zh-CN"/>
        </w:rPr>
        <w:t>0</w:t>
      </w:r>
      <w:r>
        <w:rPr>
          <w:rFonts w:hint="default" w:ascii="Times New Roman" w:hAnsi="Times New Roman" w:cs="Times New Roman"/>
        </w:rPr>
        <w:t>亩属于农村集体经济组织留用地，</w:t>
      </w:r>
      <w:r>
        <w:rPr>
          <w:rFonts w:hint="default" w:ascii="Times New Roman" w:hAnsi="Times New Roman" w:cs="Times New Roman"/>
          <w:u w:val="none"/>
        </w:rPr>
        <w:t>目前征地双方尚未完成征地补偿安置协议签订。我区每亩平均征收农用地综合区片地价</w:t>
      </w:r>
      <w:r>
        <w:rPr>
          <w:rFonts w:hint="default" w:ascii="Times New Roman" w:hAnsi="Times New Roman" w:cs="Times New Roman"/>
          <w:u w:val="none"/>
          <w:lang w:val="en-US" w:eastAsia="zh-CN"/>
        </w:rPr>
        <w:t>26.3</w:t>
      </w:r>
      <w:r>
        <w:rPr>
          <w:rFonts w:hint="default" w:ascii="Times New Roman" w:hAnsi="Times New Roman" w:cs="Times New Roman"/>
          <w:u w:val="none"/>
        </w:rPr>
        <w:t>万元/亩</w:t>
      </w:r>
      <w:r>
        <w:rPr>
          <w:rFonts w:hint="default" w:ascii="Times New Roman" w:hAnsi="Times New Roman" w:cs="Times New Roman"/>
          <w:u w:val="none"/>
          <w:lang w:eastAsia="zh-CN"/>
        </w:rPr>
        <w:t>，</w:t>
      </w:r>
      <w:r>
        <w:rPr>
          <w:rFonts w:hint="default" w:ascii="Times New Roman" w:hAnsi="Times New Roman" w:cs="Times New Roman"/>
        </w:rPr>
        <w:t>征地社保费计提</w:t>
      </w:r>
      <w:r>
        <w:rPr>
          <w:rFonts w:hint="default" w:ascii="Times New Roman" w:hAnsi="Times New Roman" w:cs="Times New Roman"/>
          <w:lang w:val="en-US" w:eastAsia="zh-CN"/>
        </w:rPr>
        <w:t>标准为2.90</w:t>
      </w:r>
      <w:r>
        <w:rPr>
          <w:rFonts w:hint="default" w:ascii="Times New Roman" w:hAnsi="Times New Roman" w:cs="Times New Roman"/>
        </w:rPr>
        <w:t>万元/亩</w:t>
      </w:r>
      <w:r>
        <w:rPr>
          <w:rFonts w:hint="default" w:ascii="Times New Roman" w:hAnsi="Times New Roman" w:cs="Times New Roman"/>
          <w:lang w:eastAsia="zh-CN"/>
        </w:rPr>
        <w:t>（</w:t>
      </w:r>
      <w:r>
        <w:rPr>
          <w:rFonts w:hint="default" w:ascii="Times New Roman" w:hAnsi="Times New Roman" w:cs="Times New Roman"/>
          <w:lang w:val="en-US" w:eastAsia="zh-CN"/>
        </w:rPr>
        <w:t>按26.3万元/亩的11%计算</w:t>
      </w:r>
      <w:r>
        <w:rPr>
          <w:rFonts w:hint="default" w:ascii="Times New Roman" w:hAnsi="Times New Roman" w:cs="Times New Roman"/>
          <w:lang w:eastAsia="zh-CN"/>
        </w:rPr>
        <w:t>）</w:t>
      </w:r>
      <w:r>
        <w:rPr>
          <w:rFonts w:hint="default" w:ascii="Times New Roman" w:hAnsi="Times New Roman" w:cs="Times New Roman"/>
        </w:rPr>
        <w:t>，其中</w:t>
      </w:r>
      <w:r>
        <w:rPr>
          <w:rFonts w:hint="default" w:ascii="Times New Roman" w:hAnsi="Times New Roman" w:cs="Times New Roman"/>
          <w:lang w:val="en-US" w:eastAsia="zh-CN"/>
        </w:rPr>
        <w:t>0</w:t>
      </w:r>
      <w:r>
        <w:rPr>
          <w:rFonts w:hint="default" w:ascii="Times New Roman" w:hAnsi="Times New Roman" w:cs="Times New Roman"/>
        </w:rPr>
        <w:t>亩属于农村集体经济组织留用地，按规定不计提征地社保费，需计提费用共</w:t>
      </w:r>
      <w:r>
        <w:rPr>
          <w:rFonts w:hint="default" w:ascii="Times New Roman" w:hAnsi="Times New Roman" w:cs="Times New Roman"/>
          <w:lang w:val="en-US" w:eastAsia="zh-CN"/>
        </w:rPr>
        <w:t>114.7</w:t>
      </w:r>
      <w:r>
        <w:rPr>
          <w:rFonts w:hint="eastAsia" w:cs="Times New Roman"/>
          <w:lang w:val="en-US" w:eastAsia="zh-CN"/>
        </w:rPr>
        <w:t>3</w:t>
      </w:r>
      <w:r>
        <w:rPr>
          <w:rFonts w:hint="default" w:ascii="Times New Roman" w:hAnsi="Times New Roman" w:cs="Times New Roman"/>
        </w:rPr>
        <w:t>万元由</w:t>
      </w:r>
      <w:r>
        <w:rPr>
          <w:rFonts w:hint="default" w:ascii="Times New Roman" w:hAnsi="Times New Roman" w:cs="Times New Roman"/>
          <w:u w:val="none"/>
        </w:rPr>
        <w:t>征地主体（用地单位）</w:t>
      </w:r>
      <w:r>
        <w:rPr>
          <w:rFonts w:hint="default" w:ascii="Times New Roman" w:hAnsi="Times New Roman" w:cs="Times New Roman"/>
        </w:rPr>
        <w:t>一次性预存入我区</w:t>
      </w:r>
      <w:r>
        <w:rPr>
          <w:rFonts w:hint="default" w:ascii="Times New Roman" w:hAnsi="Times New Roman" w:cs="Times New Roman"/>
          <w:u w:val="none"/>
        </w:rPr>
        <w:t>人力资源社会保障部门</w:t>
      </w:r>
      <w:r>
        <w:rPr>
          <w:rFonts w:hint="default" w:ascii="Times New Roman" w:hAnsi="Times New Roman" w:cs="Times New Roman"/>
        </w:rPr>
        <w:t>开设的“收缴被征地农民养老保障资金过渡户”，计入征地成本，纳入工程项目概算。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四、征地社保费</w:t>
      </w:r>
      <w:r>
        <w:rPr>
          <w:rFonts w:hint="eastAsia" w:ascii="Times New Roman" w:hAnsi="Times New Roman" w:cs="Times New Roman"/>
          <w:lang w:val="en-US" w:eastAsia="zh-CN"/>
        </w:rPr>
        <w:t>发放</w:t>
      </w:r>
      <w:r>
        <w:rPr>
          <w:rFonts w:hint="default" w:ascii="Times New Roman" w:hAnsi="Times New Roman" w:cs="Times New Roman"/>
        </w:rPr>
        <w:t>。一是</w:t>
      </w:r>
      <w:r>
        <w:rPr>
          <w:rFonts w:hint="default" w:ascii="Times New Roman" w:hAnsi="Times New Roman" w:cs="Times New Roman"/>
        </w:rPr>
        <w:t>征地社保费与征地安置补偿费同期拨付。征地实施部门在拟发放征地安置补助费时，应告知同级人力资源社会保障部门和征地项目所在</w:t>
      </w:r>
      <w:r>
        <w:rPr>
          <w:rFonts w:hint="eastAsia" w:cs="Times New Roman"/>
          <w:lang w:eastAsia="zh-CN"/>
        </w:rPr>
        <w:t>镇人民政府（街道办事处）</w:t>
      </w:r>
      <w:r>
        <w:rPr>
          <w:rFonts w:hint="default" w:ascii="Times New Roman" w:hAnsi="Times New Roman" w:cs="Times New Roman"/>
        </w:rPr>
        <w:t>。</w:t>
      </w:r>
      <w:r>
        <w:rPr>
          <w:rFonts w:hint="eastAsia" w:cs="Times New Roman"/>
          <w:lang w:eastAsia="zh-CN"/>
        </w:rPr>
        <w:t>镇人民政府（街道办事处）</w:t>
      </w:r>
      <w:r>
        <w:rPr>
          <w:rFonts w:hint="default" w:ascii="Times New Roman" w:hAnsi="Times New Roman" w:cs="Times New Roman"/>
        </w:rPr>
        <w:t>牵头组织被征地农户在15个工作日内按时提供具体参保人员名单和分配金额。被征地农户未按时提供的，由</w:t>
      </w:r>
      <w:r>
        <w:rPr>
          <w:rFonts w:hint="eastAsia" w:cs="Times New Roman"/>
          <w:lang w:eastAsia="zh-CN"/>
        </w:rPr>
        <w:t>镇人民政府（街道办事处）</w:t>
      </w:r>
      <w:r>
        <w:rPr>
          <w:rFonts w:hint="default" w:ascii="Times New Roman" w:hAnsi="Times New Roman" w:cs="Times New Roman"/>
        </w:rPr>
        <w:t>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w:t>
      </w:r>
      <w:r>
        <w:rPr>
          <w:rFonts w:hint="eastAsia" w:cs="Times New Roman"/>
          <w:lang w:eastAsia="zh-CN"/>
        </w:rPr>
        <w:t>；</w:t>
      </w:r>
      <w:r>
        <w:rPr>
          <w:rFonts w:hint="default" w:ascii="Times New Roman" w:hAnsi="Times New Roman" w:cs="Times New Roman"/>
        </w:rPr>
        <w:t>其中已领取城镇职工基本养老金的，一次性支付个人。</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eastAsia" w:cs="Times New Roman"/>
          <w:lang w:val="en-US" w:eastAsia="zh-CN"/>
        </w:rPr>
        <w:t>附件</w:t>
      </w:r>
      <w:r>
        <w:rPr>
          <w:rFonts w:hint="default" w:ascii="Times New Roman" w:hAnsi="Times New Roman" w:cs="Times New Roman"/>
        </w:rPr>
        <w:t>：征地土地</w:t>
      </w:r>
      <w:r>
        <w:rPr>
          <w:rFonts w:hint="eastAsia" w:cs="Times New Roman"/>
          <w:lang w:val="en-US" w:eastAsia="zh-CN"/>
        </w:rPr>
        <w:t>及</w:t>
      </w:r>
      <w:r>
        <w:rPr>
          <w:rFonts w:hint="default" w:ascii="Times New Roman" w:hAnsi="Times New Roman" w:cs="Times New Roman"/>
        </w:rPr>
        <w:t>养老保障情况表</w:t>
      </w:r>
    </w:p>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p>
    <w:p>
      <w:pPr>
        <w:keepNext w:val="0"/>
        <w:keepLines w:val="0"/>
        <w:pageBreakBefore w:val="0"/>
        <w:widowControl/>
        <w:shd w:val="clear" w:color="auto" w:fill="FFFFFF"/>
        <w:kinsoku/>
        <w:wordWrap w:val="0"/>
        <w:overflowPunct/>
        <w:topLinePunct w:val="0"/>
        <w:autoSpaceDE/>
        <w:autoSpaceDN/>
        <w:bidi w:val="0"/>
        <w:adjustRightInd/>
        <w:snapToGrid w:val="0"/>
        <w:spacing w:before="156" w:beforeLines="50" w:line="560" w:lineRule="exact"/>
        <w:ind w:firstLine="3520" w:firstLineChars="1100"/>
        <w:jc w:val="right"/>
        <w:textAlignment w:val="auto"/>
        <w:rPr>
          <w:rFonts w:hint="default" w:ascii="Times New Roman" w:hAnsi="Times New Roman" w:eastAsia="仿宋_GB2312" w:cs="Times New Roman"/>
          <w:lang w:val="en-US" w:eastAsia="zh-CN"/>
        </w:rPr>
      </w:pPr>
      <w:r>
        <w:rPr>
          <w:rFonts w:hint="default" w:ascii="Times New Roman" w:hAnsi="Times New Roman" w:cs="Times New Roman"/>
        </w:rPr>
        <w:t>广州市南沙区人民政府港湾街道办事处</w:t>
      </w:r>
      <w:r>
        <w:rPr>
          <w:rFonts w:hint="default" w:ascii="Times New Roman" w:hAnsi="Times New Roman" w:cs="Times New Roman"/>
          <w:color w:val="000000"/>
          <w:kern w:val="0"/>
          <w:shd w:val="clear" w:color="auto" w:fill="FFFFFF"/>
          <w:lang w:val="en-US" w:eastAsia="zh-CN" w:bidi="ar"/>
        </w:rPr>
        <w:t>2025</w:t>
      </w:r>
      <w:r>
        <w:rPr>
          <w:rFonts w:hint="default" w:ascii="Times New Roman" w:hAnsi="Times New Roman" w:cs="Times New Roman"/>
          <w:color w:val="000000"/>
          <w:kern w:val="0"/>
          <w:shd w:val="clear" w:color="auto" w:fill="FFFFFF"/>
          <w:lang w:bidi="ar"/>
        </w:rPr>
        <w:t>年</w:t>
      </w:r>
      <w:r>
        <w:rPr>
          <w:rFonts w:hint="eastAsia" w:cs="Times New Roman"/>
          <w:color w:val="000000"/>
          <w:kern w:val="0"/>
          <w:shd w:val="clear" w:color="auto" w:fill="FFFFFF"/>
          <w:lang w:val="en-US" w:eastAsia="zh-CN" w:bidi="ar"/>
        </w:rPr>
        <w:t>11</w:t>
      </w:r>
      <w:r>
        <w:rPr>
          <w:rFonts w:hint="default" w:ascii="Times New Roman" w:hAnsi="Times New Roman" w:cs="Times New Roman"/>
          <w:color w:val="000000"/>
          <w:kern w:val="0"/>
          <w:shd w:val="clear" w:color="auto" w:fill="FFFFFF"/>
          <w:lang w:bidi="ar"/>
        </w:rPr>
        <w:t>月</w:t>
      </w:r>
      <w:r>
        <w:rPr>
          <w:rFonts w:hint="eastAsia" w:cs="Times New Roman"/>
          <w:color w:val="000000"/>
          <w:kern w:val="0"/>
          <w:shd w:val="clear" w:color="auto" w:fill="FFFFFF"/>
          <w:lang w:val="en-US" w:eastAsia="zh-CN" w:bidi="ar"/>
        </w:rPr>
        <w:t>10</w:t>
      </w:r>
      <w:r>
        <w:rPr>
          <w:rFonts w:hint="default" w:ascii="Times New Roman" w:hAnsi="Times New Roman" w:cs="Times New Roman"/>
          <w:color w:val="000000"/>
          <w:kern w:val="0"/>
          <w:shd w:val="clear" w:color="auto" w:fill="FFFFFF"/>
          <w:lang w:bidi="ar"/>
        </w:rPr>
        <w:t>日</w:t>
      </w:r>
      <w:r>
        <w:rPr>
          <w:rFonts w:hint="eastAsia" w:cs="Times New Roman"/>
          <w:color w:val="000000"/>
          <w:kern w:val="0"/>
          <w:shd w:val="clear" w:color="auto" w:fill="FFFFFF"/>
          <w:lang w:val="en-US" w:eastAsia="zh-CN" w:bidi="ar"/>
        </w:rPr>
        <w:t xml:space="preserve">        </w:t>
      </w:r>
    </w:p>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rPr>
      </w:pPr>
      <w:r>
        <w:rPr>
          <w:rFonts w:hint="default" w:ascii="Times New Roman" w:hAnsi="Times New Roman" w:eastAsia="黑体" w:cs="Times New Roman"/>
        </w:rPr>
        <w:br w:type="page"/>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eastAsia="黑体" w:cs="Times New Roman"/>
          <w:lang w:val="en-US" w:eastAsia="zh-CN"/>
        </w:rPr>
      </w:pPr>
      <w:r>
        <w:rPr>
          <w:rFonts w:hint="default" w:ascii="Times New Roman" w:hAnsi="Times New Roman" w:eastAsia="黑体" w:cs="Times New Roman"/>
        </w:rPr>
        <w:t>附</w:t>
      </w:r>
      <w:r>
        <w:rPr>
          <w:rFonts w:hint="eastAsia" w:eastAsia="黑体" w:cs="Times New Roman"/>
          <w:lang w:val="en-US" w:eastAsia="zh-CN"/>
        </w:rPr>
        <w:t>件</w:t>
      </w:r>
    </w:p>
    <w:p>
      <w:pPr>
        <w:pStyle w:val="2"/>
        <w:keepNext w:val="0"/>
        <w:keepLines w:val="0"/>
        <w:pageBreakBefore w:val="0"/>
        <w:kinsoku/>
        <w:overflowPunct/>
        <w:topLinePunct w:val="0"/>
        <w:autoSpaceDE/>
        <w:autoSpaceDN/>
        <w:bidi w:val="0"/>
        <w:adjustRightInd/>
        <w:snapToGrid w:val="0"/>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val="0"/>
        <w:spacing w:line="560" w:lineRule="exact"/>
        <w:ind w:right="21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pStyle w:val="2"/>
        <w:keepNext w:val="0"/>
        <w:keepLines w:val="0"/>
        <w:pageBreakBefore w:val="0"/>
        <w:kinsoku/>
        <w:overflowPunct/>
        <w:topLinePunct w:val="0"/>
        <w:autoSpaceDE/>
        <w:autoSpaceDN/>
        <w:bidi w:val="0"/>
        <w:adjustRightInd/>
        <w:snapToGrid w:val="0"/>
        <w:spacing w:line="560" w:lineRule="exact"/>
        <w:textAlignment w:val="auto"/>
        <w:rPr>
          <w:rFonts w:hint="default"/>
        </w:rPr>
      </w:pPr>
    </w:p>
    <w:p>
      <w:pPr>
        <w:keepNext w:val="0"/>
        <w:keepLines w:val="0"/>
        <w:pageBreakBefore w:val="0"/>
        <w:kinsoku/>
        <w:wordWrap/>
        <w:overflowPunct/>
        <w:topLinePunct w:val="0"/>
        <w:autoSpaceDE/>
        <w:autoSpaceDN/>
        <w:bidi w:val="0"/>
        <w:adjustRightInd/>
        <w:snapToGrid w:val="0"/>
        <w:spacing w:line="560" w:lineRule="exact"/>
        <w:ind w:right="770"/>
        <w:jc w:val="right"/>
        <w:textAlignment w:val="auto"/>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5"/>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58"/>
        <w:gridCol w:w="2256"/>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征收土地面积</w:t>
            </w:r>
          </w:p>
          <w:p>
            <w:pPr>
              <w:pStyle w:val="2"/>
              <w:rPr>
                <w:rFonts w:hint="default"/>
                <w:sz w:val="22"/>
                <w:szCs w:val="18"/>
              </w:rPr>
            </w:pP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8"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港湾街</w:t>
            </w:r>
          </w:p>
        </w:tc>
        <w:tc>
          <w:tcPr>
            <w:tcW w:w="22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塘坑股份合作经济联合社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39.561</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eastAsia="仿宋_GB2312" w:cs="Times New Roman"/>
                <w:kern w:val="0"/>
                <w:sz w:val="28"/>
                <w:szCs w:val="28"/>
                <w:lang w:eastAsia="zh-CN"/>
              </w:rPr>
            </w:pPr>
            <w:r>
              <w:rPr>
                <w:rFonts w:hint="default" w:ascii="Times New Roman" w:hAnsi="Times New Roman" w:cs="Times New Roman"/>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114.73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39.561</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eastAsia="仿宋_GB2312" w:cs="Times New Roman"/>
                <w:kern w:val="0"/>
                <w:sz w:val="28"/>
                <w:szCs w:val="28"/>
                <w:lang w:eastAsia="zh-CN"/>
              </w:rPr>
            </w:pPr>
            <w:r>
              <w:rPr>
                <w:rFonts w:hint="default" w:ascii="Times New Roman" w:hAnsi="Times New Roman" w:cs="Times New Roman"/>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114.73</w:t>
            </w:r>
          </w:p>
        </w:tc>
      </w:tr>
    </w:tbl>
    <w:p>
      <w:pPr>
        <w:keepNext w:val="0"/>
        <w:keepLines w:val="0"/>
        <w:pageBreakBefore w:val="0"/>
        <w:kinsoku/>
        <w:wordWrap/>
        <w:overflowPunct/>
        <w:topLinePunct w:val="0"/>
        <w:autoSpaceDE/>
        <w:autoSpaceDN/>
        <w:bidi w:val="0"/>
        <w:adjustRightInd/>
        <w:snapToGrid w:val="0"/>
        <w:spacing w:before="156" w:beforeLines="50" w:line="560" w:lineRule="exact"/>
        <w:ind w:right="21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说明：</w:t>
      </w:r>
    </w:p>
    <w:p>
      <w:pPr>
        <w:keepNext w:val="0"/>
        <w:keepLines w:val="0"/>
        <w:pageBreakBefore w:val="0"/>
        <w:kinsoku/>
        <w:wordWrap/>
        <w:overflowPunct/>
        <w:topLinePunct w:val="0"/>
        <w:autoSpaceDE/>
        <w:autoSpaceDN/>
        <w:bidi w:val="0"/>
        <w:adjustRightInd/>
        <w:snapToGrid w:val="0"/>
        <w:spacing w:line="560" w:lineRule="exact"/>
        <w:ind w:left="0" w:leftChars="0" w:right="210" w:firstLine="638" w:firstLineChars="228"/>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1</w:t>
      </w:r>
      <w:r>
        <w:rPr>
          <w:rFonts w:hint="eastAsia" w:cs="Times New Roman"/>
          <w:sz w:val="28"/>
          <w:szCs w:val="28"/>
          <w:lang w:val="en-US" w:eastAsia="zh-CN"/>
        </w:rPr>
        <w:t>.</w:t>
      </w:r>
      <w:r>
        <w:rPr>
          <w:rFonts w:hint="default" w:ascii="Times New Roman" w:hAnsi="Times New Roman" w:cs="Times New Roman"/>
          <w:sz w:val="28"/>
          <w:szCs w:val="28"/>
        </w:rPr>
        <w:t>征地社保费计提标准</w:t>
      </w:r>
      <w:r>
        <w:rPr>
          <w:rFonts w:hint="default" w:ascii="Times New Roman" w:hAnsi="Times New Roman" w:cs="Times New Roman"/>
          <w:sz w:val="28"/>
          <w:szCs w:val="28"/>
          <w:lang w:val="en-US" w:eastAsia="zh-CN"/>
        </w:rPr>
        <w:t>2.90</w:t>
      </w:r>
      <w:r>
        <w:rPr>
          <w:rFonts w:hint="default" w:ascii="Times New Roman" w:hAnsi="Times New Roman" w:cs="Times New Roman"/>
          <w:sz w:val="28"/>
          <w:szCs w:val="28"/>
        </w:rPr>
        <w:t>万元/亩，征地社保费计算结果向上取整，精确到百元。</w:t>
      </w:r>
    </w:p>
    <w:p>
      <w:pPr>
        <w:keepNext w:val="0"/>
        <w:keepLines w:val="0"/>
        <w:pageBreakBefore w:val="0"/>
        <w:kinsoku/>
        <w:wordWrap/>
        <w:overflowPunct/>
        <w:topLinePunct w:val="0"/>
        <w:autoSpaceDE/>
        <w:autoSpaceDN/>
        <w:bidi w:val="0"/>
        <w:adjustRightInd/>
        <w:snapToGrid w:val="0"/>
        <w:spacing w:line="560" w:lineRule="exact"/>
        <w:ind w:left="0" w:leftChars="0" w:right="210" w:firstLine="638" w:firstLineChars="228"/>
        <w:jc w:val="left"/>
        <w:textAlignment w:val="auto"/>
        <w:rPr>
          <w:sz w:val="28"/>
          <w:szCs w:val="28"/>
        </w:rPr>
      </w:pPr>
      <w:bookmarkStart w:id="0" w:name="_GoBack"/>
      <w:bookmarkEnd w:id="0"/>
      <w:r>
        <w:rPr>
          <w:rFonts w:hint="default" w:ascii="Times New Roman" w:hAnsi="Times New Roman" w:cs="Times New Roman"/>
          <w:sz w:val="28"/>
          <w:szCs w:val="28"/>
        </w:rPr>
        <w:t>2</w:t>
      </w:r>
      <w:r>
        <w:rPr>
          <w:rFonts w:hint="eastAsia" w:cs="Times New Roman"/>
          <w:sz w:val="28"/>
          <w:szCs w:val="28"/>
          <w:lang w:val="en-US" w:eastAsia="zh-CN"/>
        </w:rPr>
        <w:t>.</w:t>
      </w:r>
      <w:r>
        <w:rPr>
          <w:rFonts w:hint="default" w:ascii="Times New Roman" w:hAnsi="Times New Roman" w:cs="Times New Roman"/>
          <w:sz w:val="28"/>
          <w:szCs w:val="28"/>
        </w:rPr>
        <w:t>被征收土地属于农村集体经济组织留用地的，不计提征地社保费。</w:t>
      </w:r>
    </w:p>
    <w:p>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textAlignment w:val="auto"/>
        <w:rPr>
          <w:sz w:val="28"/>
          <w:szCs w:val="28"/>
        </w:rPr>
      </w:pPr>
    </w:p>
    <w:sectPr>
      <w:pgSz w:w="11906" w:h="16838"/>
      <w:pgMar w:top="1417" w:right="1361" w:bottom="1417"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DQ0ODM0YWFiZWM5ODNlMGQyNjE4ZTVjMGE3NjgifQ=="/>
  </w:docVars>
  <w:rsids>
    <w:rsidRoot w:val="BBBD5EA7"/>
    <w:rsid w:val="000326DE"/>
    <w:rsid w:val="005C11FA"/>
    <w:rsid w:val="0094685C"/>
    <w:rsid w:val="00D9573C"/>
    <w:rsid w:val="084A47C6"/>
    <w:rsid w:val="0ADF5EB2"/>
    <w:rsid w:val="0D5E6399"/>
    <w:rsid w:val="1A266B42"/>
    <w:rsid w:val="1DDD0D9F"/>
    <w:rsid w:val="2BC06B31"/>
    <w:rsid w:val="37E83AD9"/>
    <w:rsid w:val="3B363738"/>
    <w:rsid w:val="3B4F7FF4"/>
    <w:rsid w:val="5C694C8B"/>
    <w:rsid w:val="5D2F6E7D"/>
    <w:rsid w:val="5DC65E7E"/>
    <w:rsid w:val="5FA97535"/>
    <w:rsid w:val="75763F3E"/>
    <w:rsid w:val="778D5E75"/>
    <w:rsid w:val="7F442557"/>
    <w:rsid w:val="BBBD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cs="Times New Roman"/>
      <w:kern w:val="2"/>
      <w:sz w:val="18"/>
      <w:szCs w:val="18"/>
    </w:rPr>
  </w:style>
  <w:style w:type="character" w:customStyle="1" w:styleId="8">
    <w:name w:val="页脚 字符"/>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1146</Words>
  <Characters>1214</Characters>
  <Lines>39</Lines>
  <Paragraphs>11</Paragraphs>
  <TotalTime>219</TotalTime>
  <ScaleCrop>false</ScaleCrop>
  <LinksUpToDate>false</LinksUpToDate>
  <CharactersWithSpaces>1224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2025-01-14T11:35:00Z</dcterms:created>
  <dc:creator>黄跃生</dc:creator>
  <cp:lastModifiedBy>何慧敏</cp:lastModifiedBy>
  <dcterms:modified xsi:type="dcterms:W3CDTF">2025-12-03T08:32:45Z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88B91C801CE54B40953359EFDE25F35C_13</vt:lpwstr>
  </property>
  <property fmtid="{D5CDD505-2E9C-101B-9397-08002B2CF9AE}" pid="4" name="KSOTemplateDocerSaveRecord">
    <vt:lpwstr>eyJoZGlkIjoiZDEzNjU3ZWIyOWQ2MGQ5ZjZiNzU4YTNmMGM0ZjExYTIiLCJ1c2VySWQiOiI0NzA4MzgwNDQifQ==</vt:lpwstr>
  </property>
</Properties>
</file>