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9A291">
      <w:pPr>
        <w:spacing w:line="534" w:lineRule="exact"/>
        <w:jc w:val="center"/>
        <w:rPr>
          <w:rFonts w:ascii="方正小标宋简体" w:hAnsi="方正小标宋简体" w:eastAsia="方正小标宋简体" w:cs="方正小标宋简体"/>
          <w:sz w:val="44"/>
          <w:szCs w:val="44"/>
          <w:lang w:eastAsia="zh-CN"/>
        </w:rPr>
      </w:pPr>
    </w:p>
    <w:p w14:paraId="282A1584">
      <w:pPr>
        <w:spacing w:line="534" w:lineRule="exact"/>
        <w:jc w:val="center"/>
        <w:rPr>
          <w:rFonts w:ascii="方正小标宋简体" w:hAnsi="方正小标宋简体" w:eastAsia="方正小标宋简体" w:cs="方正小标宋简体"/>
          <w:sz w:val="44"/>
          <w:szCs w:val="44"/>
          <w:lang w:eastAsia="zh-CN"/>
        </w:rPr>
      </w:pPr>
    </w:p>
    <w:p w14:paraId="25A6C8C1">
      <w:pPr>
        <w:spacing w:line="534" w:lineRule="exact"/>
        <w:jc w:val="center"/>
        <w:rPr>
          <w:rFonts w:ascii="方正小标宋简体" w:hAnsi="方正小标宋简体" w:eastAsia="方正小标宋简体" w:cs="方正小标宋简体"/>
          <w:sz w:val="44"/>
          <w:szCs w:val="44"/>
          <w:lang w:eastAsia="zh-CN"/>
        </w:rPr>
      </w:pPr>
    </w:p>
    <w:p w14:paraId="1659AF30">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年度第二批次城镇建设用地（巴江河北一地块〔二期〕）的征地补偿安置方案</w:t>
      </w:r>
    </w:p>
    <w:p w14:paraId="678A830F">
      <w:pPr>
        <w:spacing w:before="7"/>
        <w:rPr>
          <w:rFonts w:ascii="Adobe 黑体 Std R" w:hAnsi="Adobe 黑体 Std R" w:eastAsia="Adobe 黑体 Std R" w:cs="Adobe 黑体 Std R"/>
          <w:sz w:val="34"/>
          <w:szCs w:val="34"/>
          <w:lang w:eastAsia="zh-CN"/>
        </w:rPr>
      </w:pPr>
    </w:p>
    <w:p w14:paraId="5A66B1C0">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秀全街、炭步镇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民政府拟征收广州市花都区秀全街马溪村西河经济合作社、炭步镇石湖村坎头经济合作社属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0.6986</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31ECAB8B">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一、征收范围</w:t>
      </w:r>
    </w:p>
    <w:p w14:paraId="780654F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广州市花都区秀全街马溪村西河经济合作社、炭步镇石湖村坎头经济合作社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具体位置详见附图</w:t>
      </w:r>
      <w:r>
        <w:rPr>
          <w:rFonts w:hint="eastAsia" w:ascii="Times New Roman" w:hAnsi="Times New Roman" w:eastAsia="仿宋_GB2312" w:cs="Times New Roman"/>
          <w:sz w:val="32"/>
          <w:szCs w:val="32"/>
          <w:lang w:eastAsia="zh-CN"/>
        </w:rPr>
        <w:t>。</w:t>
      </w:r>
    </w:p>
    <w:p w14:paraId="705E47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实际征收土地范围以最终批准文件为准。</w:t>
      </w:r>
    </w:p>
    <w:p w14:paraId="62B5D516">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二、征收目的</w:t>
      </w:r>
    </w:p>
    <w:p w14:paraId="6CD01DE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在国土空间总体规划确定的城镇建设用地范围内，经省级以上人民政府批准由县级以上地方人民政府组织实施的成片开发建设需要用地。</w:t>
      </w:r>
    </w:p>
    <w:p w14:paraId="4AC01B18">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hint="eastAsia" w:ascii="黑体" w:hAnsi="黑体" w:eastAsia="黑体" w:cs="黑体"/>
          <w:lang w:eastAsia="zh-CN"/>
        </w:rPr>
      </w:pPr>
    </w:p>
    <w:p w14:paraId="1EDD4BA6">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黑体" w:hAnsi="黑体" w:eastAsia="黑体" w:cs="黑体"/>
          <w:lang w:eastAsia="zh-CN"/>
        </w:rPr>
      </w:pPr>
      <w:bookmarkStart w:id="0" w:name="_GoBack"/>
      <w:bookmarkEnd w:id="0"/>
      <w:r>
        <w:rPr>
          <w:rFonts w:hint="eastAsia" w:ascii="黑体" w:hAnsi="黑体" w:eastAsia="黑体" w:cs="黑体"/>
          <w:lang w:eastAsia="zh-CN"/>
        </w:rPr>
        <w:t>三、土地现状</w:t>
      </w:r>
    </w:p>
    <w:p w14:paraId="66B1CB1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6987A79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lang w:eastAsia="zh-CN"/>
        </w:rPr>
      </w:pP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广州市花都区秀全街马溪村西河经济合作社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0.2008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3.0120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，均为农用地</w:t>
      </w:r>
      <w:r>
        <w:rPr>
          <w:rFonts w:hint="eastAsia" w:ascii="Times New Roman" w:hAnsi="Times New Roman" w:eastAsia="仿宋_GB2312" w:cs="Times New Roman"/>
          <w:sz w:val="32"/>
          <w:szCs w:val="32"/>
          <w:lang w:val="en-US" w:eastAsia="zh-CN"/>
        </w:rPr>
        <w:t>0.2008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3.0120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不涉及耕地；不涉及建设用地和未利用地</w:t>
      </w:r>
      <w:r>
        <w:rPr>
          <w:rFonts w:ascii="Times New Roman" w:hAnsi="Times New Roman" w:eastAsia="仿宋_GB2312" w:cs="Times New Roman"/>
          <w:sz w:val="32"/>
          <w:szCs w:val="32"/>
          <w:lang w:eastAsia="zh-CN"/>
        </w:rPr>
        <w:t>。</w:t>
      </w:r>
    </w:p>
    <w:p w14:paraId="02E2D00D">
      <w:pPr>
        <w:keepNext w:val="0"/>
        <w:keepLines w:val="0"/>
        <w:pageBreakBefore w:val="0"/>
        <w:widowControl w:val="0"/>
        <w:kinsoku/>
        <w:wordWrap/>
        <w:overflowPunct/>
        <w:topLinePunct w:val="0"/>
        <w:autoSpaceDE/>
        <w:autoSpaceDN/>
        <w:bidi w:val="0"/>
        <w:adjustRightInd/>
        <w:snapToGrid/>
        <w:spacing w:before="0" w:line="520" w:lineRule="exact"/>
        <w:ind w:left="0" w:leftChars="0" w:firstLine="640" w:firstLineChars="200"/>
        <w:jc w:val="both"/>
        <w:textAlignment w:val="auto"/>
        <w:rPr>
          <w:rFonts w:hint="eastAsia" w:ascii="黑体" w:hAnsi="黑体" w:eastAsia="黑体" w:cs="黑体"/>
          <w:lang w:eastAsia="zh-CN"/>
        </w:rPr>
      </w:pP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广州市花都区炭步镇石湖村坎头经济合作社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0.4978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7.4670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eastAsia="zh-CN"/>
        </w:rPr>
        <w:t>农用地</w:t>
      </w:r>
      <w:r>
        <w:rPr>
          <w:rFonts w:hint="eastAsia" w:ascii="Times New Roman" w:hAnsi="Times New Roman" w:eastAsia="仿宋_GB2312" w:cs="Times New Roman"/>
          <w:sz w:val="32"/>
          <w:szCs w:val="32"/>
          <w:lang w:val="en-US" w:eastAsia="zh-CN"/>
        </w:rPr>
        <w:t>0.4153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6.2295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不涉及耕地；涉及建设用地</w:t>
      </w:r>
      <w:r>
        <w:rPr>
          <w:rFonts w:hint="eastAsia" w:ascii="Times New Roman" w:hAnsi="Times New Roman" w:eastAsia="仿宋_GB2312" w:cs="Times New Roman"/>
          <w:sz w:val="32"/>
          <w:szCs w:val="32"/>
          <w:lang w:val="en-US" w:eastAsia="zh-CN"/>
        </w:rPr>
        <w:t>0.0825公顷（1.2375亩），不涉及</w:t>
      </w:r>
      <w:r>
        <w:rPr>
          <w:rFonts w:hint="eastAsia" w:ascii="Times New Roman" w:hAnsi="Times New Roman" w:eastAsia="仿宋_GB2312" w:cs="Times New Roman"/>
          <w:sz w:val="32"/>
          <w:szCs w:val="32"/>
          <w:lang w:eastAsia="zh-CN"/>
        </w:rPr>
        <w:t>未利用地</w:t>
      </w:r>
      <w:r>
        <w:rPr>
          <w:rFonts w:ascii="Times New Roman" w:hAnsi="Times New Roman" w:eastAsia="仿宋_GB2312" w:cs="Times New Roman"/>
          <w:sz w:val="32"/>
          <w:szCs w:val="32"/>
          <w:lang w:eastAsia="zh-CN"/>
        </w:rPr>
        <w:t>。</w:t>
      </w:r>
    </w:p>
    <w:p w14:paraId="3C6969A0">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四、补偿方式和标准</w:t>
      </w:r>
    </w:p>
    <w:p w14:paraId="18434C4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42C285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highlight w:val="none"/>
          <w:lang w:eastAsia="zh-CN"/>
        </w:rPr>
      </w:pPr>
      <w:r>
        <w:rPr>
          <w:rFonts w:hint="eastAsia" w:ascii="Times New Roman" w:hAnsi="Times New Roman" w:eastAsia="仿宋_GB2312" w:cs="Times New Roman"/>
          <w:sz w:val="32"/>
          <w:szCs w:val="32"/>
          <w:highlight w:val="none"/>
          <w:lang w:eastAsia="zh-CN"/>
        </w:rPr>
        <w:t>根据</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广东省自然资源厅关于</w:t>
      </w:r>
      <w:r>
        <w:rPr>
          <w:rFonts w:ascii="Times New Roman" w:hAnsi="Times New Roman" w:eastAsia="仿宋_GB2312" w:cs="Times New Roman"/>
          <w:sz w:val="32"/>
          <w:szCs w:val="32"/>
          <w:highlight w:val="none"/>
          <w:lang w:eastAsia="zh-CN"/>
        </w:rPr>
        <w:t>广州</w:t>
      </w:r>
      <w:r>
        <w:rPr>
          <w:rFonts w:hint="eastAsia" w:ascii="Times New Roman" w:hAnsi="Times New Roman" w:eastAsia="仿宋_GB2312" w:cs="Times New Roman"/>
          <w:sz w:val="32"/>
          <w:szCs w:val="32"/>
          <w:highlight w:val="none"/>
          <w:lang w:eastAsia="zh-CN"/>
        </w:rPr>
        <w:t>市</w:t>
      </w:r>
      <w:r>
        <w:rPr>
          <w:rFonts w:ascii="Times New Roman" w:hAnsi="Times New Roman" w:eastAsia="仿宋_GB2312" w:cs="Times New Roman"/>
          <w:sz w:val="32"/>
          <w:szCs w:val="32"/>
          <w:highlight w:val="none"/>
          <w:lang w:eastAsia="zh-CN"/>
        </w:rPr>
        <w:t>征收农用地区片综合地价</w:t>
      </w:r>
      <w:r>
        <w:rPr>
          <w:rFonts w:hint="eastAsia" w:ascii="Times New Roman" w:hAnsi="Times New Roman" w:eastAsia="仿宋_GB2312" w:cs="Times New Roman"/>
          <w:sz w:val="32"/>
          <w:szCs w:val="32"/>
          <w:highlight w:val="none"/>
          <w:lang w:eastAsia="zh-CN"/>
        </w:rPr>
        <w:t>成果的批复</w:t>
      </w:r>
      <w:r>
        <w:rPr>
          <w:rFonts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（粤自然资函〔2024〕103号）</w:t>
      </w:r>
      <w:r>
        <w:rPr>
          <w:rFonts w:ascii="Times New Roman" w:hAnsi="Times New Roman" w:eastAsia="仿宋_GB2312" w:cs="Times New Roman"/>
          <w:sz w:val="32"/>
          <w:szCs w:val="32"/>
          <w:highlight w:val="none"/>
          <w:lang w:eastAsia="zh-CN"/>
        </w:rPr>
        <w:t>的规定，</w:t>
      </w:r>
      <w:r>
        <w:rPr>
          <w:rFonts w:hint="eastAsia" w:ascii="Times New Roman" w:hAnsi="Times New Roman" w:eastAsia="仿宋_GB2312" w:cs="Times New Roman"/>
          <w:sz w:val="32"/>
          <w:szCs w:val="32"/>
          <w:highlight w:val="none"/>
          <w:lang w:eastAsia="zh-CN"/>
        </w:rPr>
        <w:t>秀全街马溪村范围内</w:t>
      </w:r>
      <w:r>
        <w:rPr>
          <w:rFonts w:hint="eastAsia" w:ascii="Times New Roman" w:hAnsi="Times New Roman" w:eastAsia="仿宋_GB2312" w:cs="Times New Roman"/>
          <w:sz w:val="32"/>
          <w:szCs w:val="32"/>
          <w:highlight w:val="none"/>
          <w:lang w:val="en-US" w:eastAsia="zh-CN"/>
        </w:rPr>
        <w:t>0.2008公顷土地，</w:t>
      </w:r>
      <w:r>
        <w:rPr>
          <w:rFonts w:hint="eastAsia" w:ascii="Times New Roman" w:hAnsi="Times New Roman" w:eastAsia="仿宋_GB2312" w:cs="Times New Roman"/>
          <w:sz w:val="32"/>
          <w:szCs w:val="32"/>
          <w:highlight w:val="none"/>
          <w:lang w:eastAsia="zh-CN"/>
        </w:rPr>
        <w:t>土地补偿标准为1</w:t>
      </w:r>
      <w:r>
        <w:rPr>
          <w:rFonts w:ascii="Times New Roman" w:hAnsi="Times New Roman" w:eastAsia="仿宋_GB2312" w:cs="Times New Roman"/>
          <w:sz w:val="32"/>
          <w:szCs w:val="32"/>
          <w:highlight w:val="none"/>
          <w:lang w:eastAsia="zh-CN"/>
        </w:rPr>
        <w:t>20</w:t>
      </w:r>
      <w:r>
        <w:rPr>
          <w:rFonts w:hint="eastAsia" w:ascii="Times New Roman" w:hAnsi="Times New Roman" w:eastAsia="仿宋_GB2312" w:cs="Times New Roman"/>
          <w:sz w:val="32"/>
          <w:szCs w:val="32"/>
          <w:highlight w:val="none"/>
          <w:lang w:eastAsia="zh-CN"/>
        </w:rPr>
        <w:t>万元/公顷，安置补助标准为</w:t>
      </w:r>
      <w:r>
        <w:rPr>
          <w:rFonts w:ascii="Times New Roman" w:hAnsi="Times New Roman" w:eastAsia="仿宋_GB2312" w:cs="Times New Roman"/>
          <w:sz w:val="32"/>
          <w:szCs w:val="32"/>
          <w:highlight w:val="none"/>
          <w:lang w:eastAsia="zh-CN"/>
        </w:rPr>
        <w:t>120</w:t>
      </w:r>
      <w:r>
        <w:rPr>
          <w:rFonts w:hint="eastAsia" w:ascii="Times New Roman" w:hAnsi="Times New Roman" w:eastAsia="仿宋_GB2312" w:cs="Times New Roman"/>
          <w:sz w:val="32"/>
          <w:szCs w:val="32"/>
          <w:highlight w:val="none"/>
          <w:lang w:eastAsia="zh-CN"/>
        </w:rPr>
        <w:t>万元/公顷；炭步镇石湖村范围内</w:t>
      </w:r>
      <w:r>
        <w:rPr>
          <w:rFonts w:hint="eastAsia" w:ascii="Times New Roman" w:hAnsi="Times New Roman" w:eastAsia="仿宋_GB2312" w:cs="Times New Roman"/>
          <w:sz w:val="32"/>
          <w:szCs w:val="32"/>
          <w:highlight w:val="none"/>
          <w:lang w:val="en-US" w:eastAsia="zh-CN"/>
        </w:rPr>
        <w:t>0.4978公顷土地，</w:t>
      </w:r>
      <w:r>
        <w:rPr>
          <w:rFonts w:hint="eastAsia" w:ascii="Times New Roman" w:hAnsi="Times New Roman" w:eastAsia="仿宋_GB2312" w:cs="Times New Roman"/>
          <w:sz w:val="32"/>
          <w:szCs w:val="32"/>
          <w:highlight w:val="none"/>
          <w:lang w:eastAsia="zh-CN"/>
        </w:rPr>
        <w:t>土地补偿标准为</w:t>
      </w:r>
      <w:r>
        <w:rPr>
          <w:rFonts w:hint="eastAsia" w:ascii="Times New Roman" w:hAnsi="Times New Roman" w:eastAsia="仿宋_GB2312" w:cs="Times New Roman"/>
          <w:sz w:val="32"/>
          <w:szCs w:val="32"/>
          <w:highlight w:val="none"/>
          <w:lang w:val="en-US" w:eastAsia="zh-CN"/>
        </w:rPr>
        <w:t>82.5</w:t>
      </w:r>
      <w:r>
        <w:rPr>
          <w:rFonts w:hint="eastAsia" w:ascii="Times New Roman" w:hAnsi="Times New Roman" w:eastAsia="仿宋_GB2312" w:cs="Times New Roman"/>
          <w:sz w:val="32"/>
          <w:szCs w:val="32"/>
          <w:highlight w:val="none"/>
          <w:lang w:eastAsia="zh-CN"/>
        </w:rPr>
        <w:t>万元/公顷，安置补助标准为</w:t>
      </w:r>
      <w:r>
        <w:rPr>
          <w:rFonts w:hint="eastAsia" w:ascii="Times New Roman" w:hAnsi="Times New Roman" w:eastAsia="仿宋_GB2312" w:cs="Times New Roman"/>
          <w:sz w:val="32"/>
          <w:szCs w:val="32"/>
          <w:highlight w:val="none"/>
          <w:lang w:val="en-US" w:eastAsia="zh-CN"/>
        </w:rPr>
        <w:t>82.5</w:t>
      </w:r>
      <w:r>
        <w:rPr>
          <w:rFonts w:hint="eastAsia" w:ascii="Times New Roman" w:hAnsi="Times New Roman" w:eastAsia="仿宋_GB2312" w:cs="Times New Roman"/>
          <w:sz w:val="32"/>
          <w:szCs w:val="32"/>
          <w:highlight w:val="none"/>
          <w:lang w:eastAsia="zh-CN"/>
        </w:rPr>
        <w:t>万元/公顷。</w:t>
      </w:r>
    </w:p>
    <w:p w14:paraId="62B221B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2F025C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267D1A6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1A8542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7E205620">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五、安置对象</w:t>
      </w:r>
    </w:p>
    <w:p w14:paraId="3B450C5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37F2AE75">
      <w:pPr>
        <w:pStyle w:val="4"/>
        <w:keepNext w:val="0"/>
        <w:keepLines w:val="0"/>
        <w:pageBreakBefore w:val="0"/>
        <w:widowControl w:val="0"/>
        <w:kinsoku/>
        <w:wordWrap/>
        <w:overflowPunct/>
        <w:topLinePunct w:val="0"/>
        <w:autoSpaceDE/>
        <w:autoSpaceDN/>
        <w:bidi w:val="0"/>
        <w:adjustRightInd/>
        <w:snapToGrid/>
        <w:spacing w:before="0" w:line="520" w:lineRule="exact"/>
        <w:ind w:left="0" w:firstLine="640" w:firstLineChars="200"/>
        <w:jc w:val="both"/>
        <w:textAlignment w:val="auto"/>
        <w:rPr>
          <w:rFonts w:ascii="黑体" w:hAnsi="黑体" w:eastAsia="黑体" w:cs="黑体"/>
          <w:lang w:eastAsia="zh-CN"/>
        </w:rPr>
      </w:pPr>
      <w:r>
        <w:rPr>
          <w:rFonts w:hint="eastAsia" w:ascii="黑体" w:hAnsi="黑体" w:eastAsia="黑体" w:cs="黑体"/>
          <w:lang w:eastAsia="zh-CN"/>
        </w:rPr>
        <w:t>六、安置方式和社会保障</w:t>
      </w:r>
    </w:p>
    <w:p w14:paraId="6F9F9EA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074803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留用地安置。根据《广东省人民政府办公厅关于加强征收农村集体土地留用地安置管理工作的意见》（粤府办〔2016〕30号）相关规定，按实际征收土地面积的10%安排留用地，按照实地留地安排留用地。</w:t>
      </w:r>
    </w:p>
    <w:p w14:paraId="156907B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lang w:eastAsia="zh-CN"/>
        </w:rPr>
        <w:t>社会保障。该项目征收秀全街马溪村、炭步镇石湖村土地面积共</w:t>
      </w:r>
      <w:r>
        <w:rPr>
          <w:rFonts w:hint="eastAsia" w:ascii="Times New Roman" w:hAnsi="Times New Roman" w:eastAsia="仿宋_GB2312" w:cs="Times New Roman"/>
          <w:sz w:val="32"/>
          <w:szCs w:val="32"/>
          <w:lang w:val="en-US" w:eastAsia="zh-CN"/>
        </w:rPr>
        <w:t>10.4790</w:t>
      </w:r>
      <w:r>
        <w:rPr>
          <w:rFonts w:hint="eastAsia" w:ascii="Times New Roman" w:hAnsi="Times New Roman" w:eastAsia="仿宋_GB2312" w:cs="Times New Roman"/>
          <w:sz w:val="32"/>
          <w:szCs w:val="32"/>
          <w:lang w:eastAsia="zh-CN"/>
        </w:rPr>
        <w:t>亩，根据《广东省人民政府办公厅转发省人力资源社会保障厅关于进一步完善我省被征地农民养老保障政策意见的通知》（粤府办〔2021〕22号）规定，核定该项目按2.14万元/亩标准一次性计提征地社保费共</w:t>
      </w:r>
      <w:r>
        <w:rPr>
          <w:rFonts w:hint="eastAsia" w:ascii="Times New Roman" w:hAnsi="Times New Roman" w:eastAsia="仿宋_GB2312" w:cs="Times New Roman"/>
          <w:sz w:val="32"/>
          <w:szCs w:val="32"/>
          <w:lang w:val="en-US" w:eastAsia="zh-CN"/>
        </w:rPr>
        <w:t>22.43</w:t>
      </w:r>
      <w:r>
        <w:rPr>
          <w:rFonts w:hint="eastAsia" w:ascii="Times New Roman" w:hAnsi="Times New Roman" w:eastAsia="仿宋_GB2312" w:cs="Times New Roman"/>
          <w:sz w:val="32"/>
          <w:szCs w:val="32"/>
          <w:lang w:eastAsia="zh-CN"/>
        </w:rPr>
        <w:t>万元，预存入区“收缴被征地农民养老保障资金过渡户”，专款用于被征地农民养老保障。</w:t>
      </w:r>
    </w:p>
    <w:p w14:paraId="55F3FEFE">
      <w:pPr>
        <w:pStyle w:val="4"/>
        <w:keepNext w:val="0"/>
        <w:keepLines w:val="0"/>
        <w:pageBreakBefore w:val="0"/>
        <w:widowControl w:val="0"/>
        <w:kinsoku/>
        <w:wordWrap/>
        <w:overflowPunct/>
        <w:topLinePunct w:val="0"/>
        <w:autoSpaceDE/>
        <w:autoSpaceDN/>
        <w:bidi w:val="0"/>
        <w:adjustRightInd/>
        <w:snapToGrid/>
        <w:spacing w:before="0" w:line="520" w:lineRule="exact"/>
        <w:ind w:left="0" w:right="260"/>
        <w:jc w:val="right"/>
        <w:textAlignment w:val="auto"/>
        <w:rPr>
          <w:rFonts w:ascii="仿宋_GB2312" w:hAnsi="仿宋_GB2312" w:eastAsia="仿宋_GB2312" w:cs="仿宋_GB2312"/>
          <w:lang w:eastAsia="zh-CN"/>
        </w:rPr>
      </w:pPr>
    </w:p>
    <w:p w14:paraId="529D357F">
      <w:pPr>
        <w:pStyle w:val="4"/>
        <w:keepNext w:val="0"/>
        <w:keepLines w:val="0"/>
        <w:pageBreakBefore w:val="0"/>
        <w:widowControl w:val="0"/>
        <w:kinsoku/>
        <w:wordWrap/>
        <w:overflowPunct/>
        <w:topLinePunct w:val="0"/>
        <w:autoSpaceDE/>
        <w:autoSpaceDN/>
        <w:bidi w:val="0"/>
        <w:adjustRightInd/>
        <w:snapToGrid/>
        <w:spacing w:before="0" w:line="520" w:lineRule="exact"/>
        <w:ind w:left="0" w:right="260"/>
        <w:jc w:val="right"/>
        <w:textAlignment w:val="auto"/>
        <w:rPr>
          <w:rFonts w:ascii="仿宋_GB2312" w:hAnsi="仿宋_GB2312" w:eastAsia="仿宋_GB2312" w:cs="仿宋_GB2312"/>
          <w:lang w:eastAsia="zh-CN"/>
        </w:rPr>
      </w:pPr>
    </w:p>
    <w:p w14:paraId="0779143C">
      <w:pPr>
        <w:pStyle w:val="4"/>
        <w:keepNext w:val="0"/>
        <w:keepLines w:val="0"/>
        <w:pageBreakBefore w:val="0"/>
        <w:widowControl w:val="0"/>
        <w:kinsoku/>
        <w:wordWrap/>
        <w:overflowPunct/>
        <w:topLinePunct w:val="0"/>
        <w:autoSpaceDE/>
        <w:autoSpaceDN/>
        <w:bidi w:val="0"/>
        <w:adjustRightInd/>
        <w:snapToGrid/>
        <w:spacing w:before="0" w:line="520" w:lineRule="exact"/>
        <w:ind w:left="0" w:right="260"/>
        <w:jc w:val="right"/>
        <w:textAlignment w:val="auto"/>
        <w:rPr>
          <w:rFonts w:ascii="仿宋_GB2312" w:hAnsi="仿宋_GB2312" w:eastAsia="仿宋_GB2312" w:cs="仿宋_GB2312"/>
          <w:lang w:eastAsia="zh-CN"/>
        </w:rPr>
      </w:pPr>
    </w:p>
    <w:p w14:paraId="3A4C378B">
      <w:pPr>
        <w:pStyle w:val="4"/>
        <w:keepNext w:val="0"/>
        <w:keepLines w:val="0"/>
        <w:pageBreakBefore w:val="0"/>
        <w:widowControl w:val="0"/>
        <w:kinsoku/>
        <w:wordWrap/>
        <w:overflowPunct/>
        <w:topLinePunct w:val="0"/>
        <w:autoSpaceDE/>
        <w:autoSpaceDN/>
        <w:bidi w:val="0"/>
        <w:adjustRightInd/>
        <w:snapToGrid/>
        <w:spacing w:before="0" w:line="520" w:lineRule="exact"/>
        <w:ind w:left="0" w:right="261"/>
        <w:jc w:val="right"/>
        <w:textAlignment w:val="auto"/>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408C2D61">
      <w:pPr>
        <w:pStyle w:val="4"/>
        <w:keepNext w:val="0"/>
        <w:keepLines w:val="0"/>
        <w:pageBreakBefore w:val="0"/>
        <w:widowControl w:val="0"/>
        <w:kinsoku/>
        <w:wordWrap/>
        <w:overflowPunct/>
        <w:topLinePunct w:val="0"/>
        <w:autoSpaceDE/>
        <w:autoSpaceDN/>
        <w:bidi w:val="0"/>
        <w:adjustRightInd/>
        <w:snapToGrid/>
        <w:spacing w:line="520" w:lineRule="exact"/>
        <w:ind w:left="0" w:right="261"/>
        <w:jc w:val="center"/>
        <w:textAlignment w:val="auto"/>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2</w:t>
      </w:r>
      <w:r>
        <w:rPr>
          <w:rFonts w:ascii="Times New Roman" w:hAnsi="Times New Roman" w:eastAsia="仿宋_GB2312" w:cs="Times New Roman"/>
        </w:rPr>
        <w:t>月</w:t>
      </w:r>
      <w:r>
        <w:rPr>
          <w:rFonts w:hint="eastAsia" w:ascii="Times New Roman" w:hAnsi="Times New Roman" w:eastAsia="仿宋_GB2312" w:cs="Times New Roman"/>
          <w:lang w:val="en-US" w:eastAsia="zh-CN"/>
        </w:rPr>
        <w:t>26</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A87EF">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14505CB">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1350"/>
    <w:rsid w:val="000C21D6"/>
    <w:rsid w:val="000E3907"/>
    <w:rsid w:val="00144336"/>
    <w:rsid w:val="001A0BB8"/>
    <w:rsid w:val="001A1F6A"/>
    <w:rsid w:val="0020273F"/>
    <w:rsid w:val="00243930"/>
    <w:rsid w:val="002A343D"/>
    <w:rsid w:val="002F2545"/>
    <w:rsid w:val="002F3B25"/>
    <w:rsid w:val="00345770"/>
    <w:rsid w:val="00371629"/>
    <w:rsid w:val="0037606F"/>
    <w:rsid w:val="00381EAC"/>
    <w:rsid w:val="003E7E6E"/>
    <w:rsid w:val="004F014A"/>
    <w:rsid w:val="00510062"/>
    <w:rsid w:val="00583581"/>
    <w:rsid w:val="00606DD4"/>
    <w:rsid w:val="006446B9"/>
    <w:rsid w:val="007017B3"/>
    <w:rsid w:val="00812E7C"/>
    <w:rsid w:val="008620FD"/>
    <w:rsid w:val="00890462"/>
    <w:rsid w:val="008C1518"/>
    <w:rsid w:val="008E0F0A"/>
    <w:rsid w:val="008F1446"/>
    <w:rsid w:val="00910F80"/>
    <w:rsid w:val="009462E9"/>
    <w:rsid w:val="00994700"/>
    <w:rsid w:val="009C2DE4"/>
    <w:rsid w:val="00A84FBE"/>
    <w:rsid w:val="00AE0CC4"/>
    <w:rsid w:val="00B55938"/>
    <w:rsid w:val="00B749E6"/>
    <w:rsid w:val="00B95BB3"/>
    <w:rsid w:val="00BD5BBC"/>
    <w:rsid w:val="00C07288"/>
    <w:rsid w:val="00C525F8"/>
    <w:rsid w:val="00C946D4"/>
    <w:rsid w:val="00D229AF"/>
    <w:rsid w:val="00DA4B3C"/>
    <w:rsid w:val="00DC68B8"/>
    <w:rsid w:val="00E56C97"/>
    <w:rsid w:val="00EA0DDD"/>
    <w:rsid w:val="00ED200D"/>
    <w:rsid w:val="00F869B9"/>
    <w:rsid w:val="022A33E1"/>
    <w:rsid w:val="02B47861"/>
    <w:rsid w:val="038E7DC7"/>
    <w:rsid w:val="04654DC4"/>
    <w:rsid w:val="06630992"/>
    <w:rsid w:val="0822151D"/>
    <w:rsid w:val="08682950"/>
    <w:rsid w:val="08D87341"/>
    <w:rsid w:val="0AAF45C2"/>
    <w:rsid w:val="0BC12118"/>
    <w:rsid w:val="0C890300"/>
    <w:rsid w:val="0F064AD5"/>
    <w:rsid w:val="1133035D"/>
    <w:rsid w:val="161B7A15"/>
    <w:rsid w:val="162B00EE"/>
    <w:rsid w:val="16E50DE0"/>
    <w:rsid w:val="17105EE5"/>
    <w:rsid w:val="19977D8A"/>
    <w:rsid w:val="1AA24B6C"/>
    <w:rsid w:val="1DBE2748"/>
    <w:rsid w:val="219E39B8"/>
    <w:rsid w:val="22275D7A"/>
    <w:rsid w:val="24510545"/>
    <w:rsid w:val="25477C36"/>
    <w:rsid w:val="264D6EA8"/>
    <w:rsid w:val="282B3956"/>
    <w:rsid w:val="288A0F78"/>
    <w:rsid w:val="28AE002C"/>
    <w:rsid w:val="296525B4"/>
    <w:rsid w:val="29C73F17"/>
    <w:rsid w:val="2BE439BC"/>
    <w:rsid w:val="2BE83DDD"/>
    <w:rsid w:val="2E262242"/>
    <w:rsid w:val="2F2F33BB"/>
    <w:rsid w:val="319A2D1F"/>
    <w:rsid w:val="32F51B26"/>
    <w:rsid w:val="33085EB0"/>
    <w:rsid w:val="342966A0"/>
    <w:rsid w:val="34394804"/>
    <w:rsid w:val="34CC172C"/>
    <w:rsid w:val="36170E81"/>
    <w:rsid w:val="378069C4"/>
    <w:rsid w:val="39A42B0C"/>
    <w:rsid w:val="3B8E0546"/>
    <w:rsid w:val="3BFE63CF"/>
    <w:rsid w:val="3CBA3269"/>
    <w:rsid w:val="3D4536F5"/>
    <w:rsid w:val="3E653E16"/>
    <w:rsid w:val="44E71197"/>
    <w:rsid w:val="46753A21"/>
    <w:rsid w:val="47EA5951"/>
    <w:rsid w:val="49AA17E5"/>
    <w:rsid w:val="49FC5C1D"/>
    <w:rsid w:val="4D4F0EAF"/>
    <w:rsid w:val="4F536F5C"/>
    <w:rsid w:val="4FDC68BF"/>
    <w:rsid w:val="503713B5"/>
    <w:rsid w:val="505F6CEB"/>
    <w:rsid w:val="51B20896"/>
    <w:rsid w:val="52307478"/>
    <w:rsid w:val="53D675C5"/>
    <w:rsid w:val="54382FF3"/>
    <w:rsid w:val="54E02594"/>
    <w:rsid w:val="56FA52CA"/>
    <w:rsid w:val="58502C4E"/>
    <w:rsid w:val="5AE44879"/>
    <w:rsid w:val="5DD45C6C"/>
    <w:rsid w:val="5EF369C2"/>
    <w:rsid w:val="5F7D66C9"/>
    <w:rsid w:val="5FFD4613"/>
    <w:rsid w:val="622910CE"/>
    <w:rsid w:val="62844552"/>
    <w:rsid w:val="63714235"/>
    <w:rsid w:val="6488303F"/>
    <w:rsid w:val="64B715AC"/>
    <w:rsid w:val="64ED2421"/>
    <w:rsid w:val="671A7149"/>
    <w:rsid w:val="682D49C8"/>
    <w:rsid w:val="68CA7CE3"/>
    <w:rsid w:val="6A906F6A"/>
    <w:rsid w:val="6ADA2DD2"/>
    <w:rsid w:val="6B015D7A"/>
    <w:rsid w:val="6DB30687"/>
    <w:rsid w:val="6F8C3791"/>
    <w:rsid w:val="700A6775"/>
    <w:rsid w:val="708E5910"/>
    <w:rsid w:val="71C65C86"/>
    <w:rsid w:val="74263773"/>
    <w:rsid w:val="744E3CC7"/>
    <w:rsid w:val="7473278D"/>
    <w:rsid w:val="747B57C1"/>
    <w:rsid w:val="75B44CF4"/>
    <w:rsid w:val="768B3F84"/>
    <w:rsid w:val="76910A96"/>
    <w:rsid w:val="776677F4"/>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1304</Characters>
  <Lines>10</Lines>
  <Paragraphs>3</Paragraphs>
  <TotalTime>39</TotalTime>
  <ScaleCrop>false</ScaleCrop>
  <LinksUpToDate>false</LinksUpToDate>
  <CharactersWithSpaces>1529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2025-03-03T01:49:14Z</cp:lastPrinted>
  <dcterms:modified xsi:type="dcterms:W3CDTF">2025-03-03T02:07:16Z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