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A524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pacing w:val="17"/>
          <w:sz w:val="44"/>
          <w:szCs w:val="44"/>
          <w:lang w:val="en-US" w:eastAsia="zh-CN"/>
        </w:rPr>
      </w:pPr>
      <w:r>
        <w:rPr>
          <w:rFonts w:hint="eastAsia" w:ascii="方正小标宋简体" w:hAnsi="方正小标宋简体" w:eastAsia="方正小标宋简体" w:cs="方正小标宋简体"/>
          <w:spacing w:val="17"/>
          <w:sz w:val="44"/>
          <w:szCs w:val="44"/>
          <w:lang w:val="en-US" w:eastAsia="zh-CN"/>
        </w:rPr>
        <w:t>广州市南沙区2025年度第二十八批次</w:t>
      </w:r>
    </w:p>
    <w:p w14:paraId="7F6FBE5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城镇建设用地项目被征地农民</w:t>
      </w:r>
    </w:p>
    <w:p w14:paraId="47668A1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养老保障方案</w:t>
      </w:r>
    </w:p>
    <w:p w14:paraId="74B49CE6">
      <w:pPr>
        <w:pStyle w:val="2"/>
        <w:ind w:left="0" w:leftChars="0" w:firstLine="0" w:firstLineChars="0"/>
        <w:jc w:val="center"/>
        <w:rPr>
          <w:rFonts w:hint="eastAsia"/>
          <w:lang w:val="en-US" w:eastAsia="zh-CN"/>
        </w:rPr>
      </w:pPr>
      <w:r>
        <w:rPr>
          <w:rFonts w:hint="eastAsia"/>
          <w:color w:val="auto"/>
          <w:sz w:val="32"/>
          <w:szCs w:val="32"/>
          <w:shd w:val="clear" w:color="auto" w:fill="auto"/>
          <w:lang w:bidi="ar-SA"/>
        </w:rPr>
        <w:t>（</w:t>
      </w:r>
      <w:r>
        <w:rPr>
          <w:rFonts w:hint="eastAsia" w:ascii="Times New Roman" w:hAnsi="Times New Roman" w:eastAsia="仿宋_GB2312"/>
          <w:color w:val="auto"/>
          <w:sz w:val="32"/>
          <w:szCs w:val="32"/>
        </w:rPr>
        <w:t>适用按新政策执行的项目）</w:t>
      </w:r>
    </w:p>
    <w:p w14:paraId="109A65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778851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照《中华人民共和国土地管理法》《关于切实做好被征地农民社会保障工作有关问题的通知》《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sz w:val="32"/>
          <w:szCs w:val="32"/>
          <w:lang w:val="en-US" w:eastAsia="zh-CN"/>
        </w:rPr>
        <w:t>关于</w:t>
      </w:r>
      <w:r>
        <w:rPr>
          <w:rFonts w:hint="eastAsia" w:ascii="仿宋_GB2312" w:hAnsi="仿宋_GB2312" w:eastAsia="仿宋_GB2312" w:cs="仿宋_GB2312"/>
          <w:sz w:val="32"/>
          <w:szCs w:val="32"/>
          <w:lang w:val="en-US" w:eastAsia="zh-CN"/>
        </w:rPr>
        <w:t>广州市南沙区202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年度第</w:t>
      </w:r>
      <w:r>
        <w:rPr>
          <w:rFonts w:hint="eastAsia" w:ascii="仿宋_GB2312" w:hAnsi="仿宋_GB2312" w:cs="仿宋_GB2312"/>
          <w:sz w:val="32"/>
          <w:szCs w:val="32"/>
          <w:lang w:val="en-US" w:eastAsia="zh-CN"/>
        </w:rPr>
        <w:t>二十八</w:t>
      </w:r>
      <w:r>
        <w:rPr>
          <w:rFonts w:hint="eastAsia" w:ascii="仿宋_GB2312" w:hAnsi="仿宋_GB2312" w:eastAsia="仿宋_GB2312" w:cs="仿宋_GB2312"/>
          <w:sz w:val="32"/>
          <w:szCs w:val="32"/>
          <w:lang w:val="en-US" w:eastAsia="zh-CN"/>
        </w:rPr>
        <w:t>批次城镇建设用地项目被征地农民保障方案如下：</w:t>
      </w:r>
    </w:p>
    <w:p w14:paraId="0580311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一、</w:t>
      </w:r>
      <w:r>
        <w:rPr>
          <w:rFonts w:hint="eastAsia" w:ascii="仿宋_GB2312" w:hAnsi="仿宋_GB2312" w:eastAsia="仿宋_GB2312" w:cs="仿宋_GB2312"/>
          <w:sz w:val="32"/>
          <w:szCs w:val="32"/>
          <w:lang w:val="en-US" w:eastAsia="zh-CN"/>
        </w:rPr>
        <w:t>对广州市南沙区202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年度第</w:t>
      </w:r>
      <w:r>
        <w:rPr>
          <w:rFonts w:hint="eastAsia" w:ascii="仿宋_GB2312" w:hAnsi="仿宋_GB2312" w:cs="仿宋_GB2312"/>
          <w:sz w:val="32"/>
          <w:szCs w:val="32"/>
          <w:lang w:val="en-US" w:eastAsia="zh-CN"/>
        </w:rPr>
        <w:t>二十八</w:t>
      </w:r>
      <w:r>
        <w:rPr>
          <w:rFonts w:hint="eastAsia" w:ascii="仿宋_GB2312" w:hAnsi="仿宋_GB2312" w:eastAsia="仿宋_GB2312" w:cs="仿宋_GB2312"/>
          <w:sz w:val="32"/>
          <w:szCs w:val="32"/>
          <w:lang w:val="en-US" w:eastAsia="zh-CN"/>
        </w:rPr>
        <w:t>批次城镇建设用地项目涉及的被征地农民实施社会养老保障。</w:t>
      </w:r>
    </w:p>
    <w:p w14:paraId="23E2D26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lang w:val="en-US" w:eastAsia="zh-CN"/>
        </w:rPr>
        <w:t>征地社保费筹集。依据</w:t>
      </w:r>
      <w:r>
        <w:rPr>
          <w:rFonts w:hint="eastAsia" w:ascii="仿宋_GB2312" w:hAnsi="仿宋_GB2312" w:cs="仿宋_GB2312"/>
          <w:sz w:val="32"/>
          <w:szCs w:val="32"/>
          <w:lang w:val="en-US" w:eastAsia="zh-CN"/>
        </w:rPr>
        <w:t>广州市南沙新区明珠湾开发建设管理局</w:t>
      </w:r>
      <w:r>
        <w:rPr>
          <w:rFonts w:hint="eastAsia" w:ascii="仿宋_GB2312" w:hAnsi="仿宋_GB2312" w:eastAsia="仿宋_GB2312" w:cs="仿宋_GB2312"/>
          <w:sz w:val="32"/>
          <w:szCs w:val="32"/>
          <w:lang w:val="en-US" w:eastAsia="zh-CN"/>
        </w:rPr>
        <w:t>提供情况，该项目征收广州市南沙区</w:t>
      </w:r>
      <w:r>
        <w:rPr>
          <w:rFonts w:hint="eastAsia" w:ascii="仿宋_GB2312" w:hAnsi="仿宋_GB2312" w:cs="仿宋_GB2312"/>
          <w:sz w:val="32"/>
          <w:szCs w:val="32"/>
          <w:lang w:val="en-US" w:eastAsia="zh-CN"/>
        </w:rPr>
        <w:t>南沙街道坦尾</w:t>
      </w:r>
      <w:r>
        <w:rPr>
          <w:rFonts w:hint="eastAsia" w:ascii="仿宋_GB2312" w:hAnsi="仿宋_GB2312" w:eastAsia="仿宋_GB2312" w:cs="仿宋_GB2312"/>
          <w:sz w:val="32"/>
          <w:szCs w:val="32"/>
          <w:lang w:val="en-US" w:eastAsia="zh-CN"/>
        </w:rPr>
        <w:t>经济联合社农民集体土地面积</w:t>
      </w:r>
      <w:r>
        <w:rPr>
          <w:rFonts w:hint="eastAsia" w:ascii="仿宋_GB2312" w:hAnsi="仿宋_GB2312" w:cs="仿宋_GB2312"/>
          <w:sz w:val="32"/>
          <w:szCs w:val="32"/>
          <w:lang w:val="en-US" w:eastAsia="zh-CN"/>
        </w:rPr>
        <w:t>2.238</w:t>
      </w:r>
      <w:r>
        <w:rPr>
          <w:rFonts w:hint="eastAsia" w:ascii="仿宋_GB2312" w:hAnsi="仿宋_GB2312" w:eastAsia="仿宋_GB2312" w:cs="仿宋_GB2312"/>
          <w:sz w:val="32"/>
          <w:szCs w:val="32"/>
          <w:lang w:val="en-US" w:eastAsia="zh-CN"/>
        </w:rPr>
        <w:t>亩，其中</w:t>
      </w:r>
      <w:r>
        <w:rPr>
          <w:rFonts w:hint="eastAsia" w:ascii="仿宋_GB2312" w:hAnsi="仿宋_GB2312" w:cs="仿宋_GB2312"/>
          <w:sz w:val="32"/>
          <w:szCs w:val="32"/>
          <w:lang w:val="en-US" w:eastAsia="zh-CN"/>
        </w:rPr>
        <w:t>0.021</w:t>
      </w:r>
      <w:r>
        <w:rPr>
          <w:rFonts w:hint="eastAsia" w:ascii="仿宋_GB2312" w:hAnsi="仿宋_GB2312" w:eastAsia="仿宋_GB2312" w:cs="仿宋_GB2312"/>
          <w:sz w:val="32"/>
          <w:szCs w:val="32"/>
          <w:lang w:val="en-US" w:eastAsia="zh-CN"/>
        </w:rPr>
        <w:t>亩属于农村集体经济组织留用地，</w:t>
      </w:r>
      <w:r>
        <w:rPr>
          <w:rFonts w:hint="eastAsia" w:ascii="仿宋_GB2312" w:hAnsi="仿宋_GB2312" w:eastAsia="仿宋_GB2312" w:cs="仿宋_GB2312"/>
          <w:kern w:val="2"/>
          <w:sz w:val="32"/>
          <w:szCs w:val="32"/>
          <w:highlight w:val="none"/>
          <w:shd w:val="clear" w:color="auto" w:fill="auto"/>
          <w:lang w:bidi="ar-SA"/>
        </w:rPr>
        <w:t>目前</w:t>
      </w:r>
      <w:r>
        <w:rPr>
          <w:rFonts w:hint="eastAsia" w:ascii="仿宋_GB2312" w:hAnsi="仿宋_GB2312" w:eastAsia="仿宋_GB2312" w:cs="仿宋_GB2312"/>
          <w:sz w:val="32"/>
          <w:szCs w:val="32"/>
          <w:highlight w:val="none"/>
        </w:rPr>
        <w:t>征地双方</w:t>
      </w:r>
      <w:r>
        <w:rPr>
          <w:rFonts w:hint="eastAsia" w:ascii="仿宋_GB2312" w:hAnsi="仿宋_GB2312" w:cs="仿宋_GB2312"/>
          <w:sz w:val="32"/>
          <w:szCs w:val="32"/>
          <w:highlight w:val="none"/>
          <w:lang w:eastAsia="zh-CN"/>
        </w:rPr>
        <w:t>已</w:t>
      </w:r>
      <w:r>
        <w:rPr>
          <w:rFonts w:hint="eastAsia" w:ascii="仿宋_GB2312" w:hAnsi="仿宋_GB2312" w:eastAsia="仿宋_GB2312" w:cs="仿宋_GB2312"/>
          <w:sz w:val="32"/>
          <w:szCs w:val="32"/>
          <w:highlight w:val="none"/>
        </w:rPr>
        <w:t>完成征地补偿安置协议签订</w:t>
      </w:r>
      <w:r>
        <w:rPr>
          <w:rFonts w:hint="eastAsia" w:ascii="仿宋_GB2312" w:hAnsi="仿宋_GB2312" w:eastAsia="仿宋_GB2312" w:cs="仿宋_GB2312"/>
          <w:sz w:val="32"/>
          <w:szCs w:val="32"/>
          <w:lang w:val="en-US" w:eastAsia="zh-CN"/>
        </w:rPr>
        <w:t>。我区每亩平均征收农用地综合区片地价26.3万元/亩，征地社保费集体标准为2.90万元/亩（按26.3万元/亩的11%计算），其中</w:t>
      </w:r>
      <w:r>
        <w:rPr>
          <w:rFonts w:hint="eastAsia" w:ascii="仿宋_GB2312" w:hAnsi="仿宋_GB2312" w:cs="仿宋_GB2312"/>
          <w:sz w:val="32"/>
          <w:szCs w:val="32"/>
          <w:lang w:val="en-US" w:eastAsia="zh-CN"/>
        </w:rPr>
        <w:t>0.021</w:t>
      </w:r>
      <w:r>
        <w:rPr>
          <w:rFonts w:hint="eastAsia" w:ascii="仿宋_GB2312" w:hAnsi="仿宋_GB2312" w:eastAsia="仿宋_GB2312" w:cs="仿宋_GB2312"/>
          <w:sz w:val="32"/>
          <w:szCs w:val="32"/>
          <w:lang w:val="en-US" w:eastAsia="zh-CN"/>
        </w:rPr>
        <w:t>亩属于农民集体经济组织留用地，按规定不计提征地社保费，需计提资金共</w:t>
      </w:r>
      <w:r>
        <w:rPr>
          <w:rFonts w:hint="eastAsia" w:ascii="仿宋_GB2312" w:hAnsi="仿宋_GB2312" w:cs="仿宋_GB2312"/>
          <w:sz w:val="32"/>
          <w:szCs w:val="32"/>
          <w:lang w:val="en-US" w:eastAsia="zh-CN"/>
        </w:rPr>
        <w:t>6.43</w:t>
      </w:r>
      <w:r>
        <w:rPr>
          <w:rFonts w:hint="eastAsia" w:ascii="仿宋_GB2312" w:hAnsi="仿宋_GB2312" w:eastAsia="仿宋_GB2312" w:cs="仿宋_GB2312"/>
          <w:sz w:val="32"/>
          <w:szCs w:val="32"/>
          <w:lang w:val="en-US" w:eastAsia="zh-CN"/>
        </w:rPr>
        <w:t>万元由征地主体（用地单位）一次性预存入我区人力资源社会保障部门开设的“收缴被征地农民养老保障资金过渡户”，计入征地成本，纳入工程项目概算。</w:t>
      </w:r>
    </w:p>
    <w:p w14:paraId="3CC04BE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7210EC1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lang w:val="en-US" w:eastAsia="zh-CN"/>
        </w:rPr>
        <w:t>征地社保费发放。一是征地社保费与征地安置补偿费同期拨付。征地实施部门在拟发放征地安置补助费时，应告知同级人力资源社会保障部门和征地项目所在人民政府街道办事处。人民政府街道办事处牵头组织被征地农户在15个工作日内按时提供具体参保人员名单和分配金额。被征地农户未按时提供的，由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14:paraId="5A87F66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685BDCC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附件：征收土地及养老保障情况</w:t>
      </w:r>
      <w:r>
        <w:rPr>
          <w:rFonts w:hint="eastAsia" w:ascii="仿宋_GB2312" w:hAnsi="仿宋_GB2312" w:cs="仿宋_GB2312"/>
          <w:sz w:val="32"/>
          <w:szCs w:val="32"/>
          <w:lang w:val="en-US" w:eastAsia="zh-CN"/>
        </w:rPr>
        <w:t>表</w:t>
      </w:r>
    </w:p>
    <w:p w14:paraId="229D479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058F21A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lang w:val="en-US" w:eastAsia="zh-CN"/>
        </w:rPr>
      </w:pPr>
    </w:p>
    <w:p w14:paraId="2FE8AF3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广州市南沙区人民政府南沙街道办事处</w:t>
      </w:r>
    </w:p>
    <w:p w14:paraId="79750E1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                        2025年11月7日</w:t>
      </w:r>
      <w:r>
        <w:rPr>
          <w:rFonts w:hint="eastAsia" w:ascii="仿宋_GB2312" w:hAnsi="仿宋_GB2312" w:eastAsia="仿宋_GB2312" w:cs="仿宋_GB2312"/>
          <w:sz w:val="32"/>
          <w:szCs w:val="32"/>
          <w:lang w:val="en-US" w:eastAsia="zh-CN"/>
        </w:rPr>
        <w:t xml:space="preserve">                 </w:t>
      </w:r>
    </w:p>
    <w:p w14:paraId="6988E916">
      <w:pPr>
        <w:rPr>
          <w:rFonts w:hint="eastAsia" w:ascii="仿宋_GB2312" w:hAnsi="仿宋_GB2312" w:eastAsia="仿宋_GB2312" w:cs="仿宋_GB2312"/>
          <w:sz w:val="32"/>
          <w:szCs w:val="32"/>
        </w:rPr>
      </w:pPr>
    </w:p>
    <w:p w14:paraId="51AB34B6">
      <w:pPr>
        <w:pStyle w:val="2"/>
        <w:ind w:left="0" w:leftChars="0" w:firstLine="0" w:firstLineChars="0"/>
        <w:rPr>
          <w:rFonts w:hint="eastAsia" w:ascii="仿宋_GB2312" w:hAnsi="仿宋_GB2312" w:eastAsia="仿宋_GB2312" w:cs="仿宋_GB2312"/>
          <w:sz w:val="32"/>
          <w:szCs w:val="32"/>
          <w:lang w:eastAsia="zh-CN"/>
        </w:rPr>
      </w:pPr>
    </w:p>
    <w:p w14:paraId="2B3F39B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sectPr>
          <w:pgSz w:w="11906" w:h="16838"/>
          <w:pgMar w:top="1440" w:right="1474" w:bottom="1440" w:left="1587" w:header="851" w:footer="992" w:gutter="0"/>
          <w:cols w:space="425" w:num="1"/>
          <w:docGrid w:type="lines" w:linePitch="312" w:charSpace="0"/>
        </w:sectPr>
      </w:pPr>
    </w:p>
    <w:tbl>
      <w:tblPr>
        <w:tblW w:w="12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515"/>
        <w:gridCol w:w="4470"/>
        <w:gridCol w:w="2100"/>
        <w:gridCol w:w="1080"/>
        <w:gridCol w:w="1080"/>
        <w:gridCol w:w="1830"/>
      </w:tblGrid>
      <w:tr w14:paraId="07EB9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9165" w:type="dxa"/>
            <w:gridSpan w:val="6"/>
            <w:tcBorders>
              <w:top w:val="nil"/>
              <w:left w:val="nil"/>
              <w:bottom w:val="nil"/>
              <w:right w:val="nil"/>
            </w:tcBorders>
            <w:shd w:val="clear"/>
            <w:vAlign w:val="center"/>
          </w:tcPr>
          <w:p w14:paraId="65B5379B">
            <w:pPr>
              <w:keepNext w:val="0"/>
              <w:keepLines w:val="0"/>
              <w:widowControl/>
              <w:suppressLineNumbers w:val="0"/>
              <w:jc w:val="center"/>
              <w:textAlignment w:val="center"/>
              <w:rPr>
                <w:rFonts w:ascii="仿宋_GB2312" w:hAnsi="宋体" w:eastAsia="仿宋_GB2312" w:cs="仿宋_GB2312"/>
                <w:b/>
                <w:bCs/>
                <w:i w:val="0"/>
                <w:iCs w:val="0"/>
                <w:color w:val="000000"/>
                <w:sz w:val="40"/>
                <w:szCs w:val="40"/>
                <w:u w:val="none"/>
              </w:rPr>
            </w:pPr>
            <w:r>
              <w:rPr>
                <w:rFonts w:hint="eastAsia" w:ascii="仿宋_GB2312" w:hAnsi="宋体" w:eastAsia="仿宋_GB2312" w:cs="仿宋_GB2312"/>
                <w:b/>
                <w:bCs/>
                <w:i w:val="0"/>
                <w:iCs w:val="0"/>
                <w:color w:val="000000"/>
                <w:kern w:val="0"/>
                <w:sz w:val="40"/>
                <w:szCs w:val="40"/>
                <w:u w:val="none"/>
                <w:bdr w:val="none" w:color="auto" w:sz="0" w:space="0"/>
                <w:lang w:val="en-US" w:eastAsia="zh-CN" w:bidi="ar"/>
              </w:rPr>
              <w:t>征收土地及养老保障情况表</w:t>
            </w:r>
            <w:r>
              <w:rPr>
                <w:rStyle w:val="7"/>
                <w:rFonts w:hAnsi="宋体"/>
                <w:bdr w:val="none" w:color="auto" w:sz="0" w:space="0"/>
                <w:lang w:val="en-US" w:eastAsia="zh-CN" w:bidi="ar"/>
              </w:rPr>
              <w:t>（适用新政策）</w:t>
            </w:r>
          </w:p>
        </w:tc>
      </w:tr>
      <w:tr w14:paraId="1A63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5" w:hRule="atLeast"/>
        </w:trPr>
        <w:tc>
          <w:tcPr>
            <w:tcW w:w="1515" w:type="dxa"/>
            <w:tcBorders>
              <w:top w:val="nil"/>
              <w:left w:val="nil"/>
              <w:bottom w:val="nil"/>
              <w:right w:val="nil"/>
            </w:tcBorders>
            <w:shd w:val="clear"/>
            <w:vAlign w:val="center"/>
          </w:tcPr>
          <w:p w14:paraId="46D9B6FE">
            <w:pPr>
              <w:rPr>
                <w:rFonts w:hint="eastAsia" w:ascii="仿宋_GB2312" w:hAnsi="宋体" w:eastAsia="仿宋_GB2312" w:cs="仿宋_GB2312"/>
                <w:i w:val="0"/>
                <w:iCs w:val="0"/>
                <w:color w:val="000000"/>
                <w:sz w:val="28"/>
                <w:szCs w:val="28"/>
                <w:u w:val="none"/>
              </w:rPr>
            </w:pPr>
          </w:p>
        </w:tc>
        <w:tc>
          <w:tcPr>
            <w:tcW w:w="4470" w:type="dxa"/>
            <w:tcBorders>
              <w:top w:val="nil"/>
              <w:left w:val="nil"/>
              <w:bottom w:val="nil"/>
              <w:right w:val="nil"/>
            </w:tcBorders>
            <w:shd w:val="clear"/>
            <w:vAlign w:val="center"/>
          </w:tcPr>
          <w:p w14:paraId="622CE0D8">
            <w:pPr>
              <w:rPr>
                <w:rFonts w:hint="eastAsia" w:ascii="仿宋_GB2312" w:hAnsi="宋体" w:eastAsia="仿宋_GB2312" w:cs="仿宋_GB2312"/>
                <w:i w:val="0"/>
                <w:iCs w:val="0"/>
                <w:color w:val="000000"/>
                <w:sz w:val="28"/>
                <w:szCs w:val="28"/>
                <w:u w:val="none"/>
              </w:rPr>
            </w:pPr>
          </w:p>
        </w:tc>
        <w:tc>
          <w:tcPr>
            <w:tcW w:w="2100" w:type="dxa"/>
            <w:tcBorders>
              <w:top w:val="nil"/>
              <w:left w:val="nil"/>
              <w:bottom w:val="nil"/>
              <w:right w:val="nil"/>
            </w:tcBorders>
            <w:shd w:val="clear"/>
            <w:vAlign w:val="center"/>
          </w:tcPr>
          <w:p w14:paraId="6E24CC38">
            <w:pPr>
              <w:rPr>
                <w:rFonts w:hint="eastAsia" w:ascii="仿宋_GB2312" w:hAnsi="宋体" w:eastAsia="仿宋_GB2312" w:cs="仿宋_GB2312"/>
                <w:i w:val="0"/>
                <w:iCs w:val="0"/>
                <w:color w:val="000000"/>
                <w:sz w:val="28"/>
                <w:szCs w:val="28"/>
                <w:u w:val="none"/>
              </w:rPr>
            </w:pPr>
          </w:p>
        </w:tc>
        <w:tc>
          <w:tcPr>
            <w:tcW w:w="1080" w:type="dxa"/>
            <w:gridSpan w:val="3"/>
            <w:tcBorders>
              <w:top w:val="nil"/>
              <w:left w:val="nil"/>
              <w:bottom w:val="single" w:color="000000" w:sz="4" w:space="0"/>
              <w:right w:val="nil"/>
            </w:tcBorders>
            <w:shd w:val="clear"/>
            <w:vAlign w:val="center"/>
          </w:tcPr>
          <w:p w14:paraId="2409282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单位：亩，万元</w:t>
            </w:r>
          </w:p>
        </w:tc>
      </w:tr>
      <w:tr w14:paraId="174E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985" w:type="dxa"/>
            <w:gridSpan w:val="2"/>
            <w:tcBorders>
              <w:top w:val="single" w:color="000000" w:sz="4" w:space="0"/>
              <w:left w:val="single" w:color="000000" w:sz="4" w:space="0"/>
              <w:bottom w:val="single" w:color="000000" w:sz="4" w:space="0"/>
              <w:right w:val="single" w:color="000000" w:sz="4" w:space="0"/>
            </w:tcBorders>
            <w:shd w:val="clear"/>
            <w:vAlign w:val="center"/>
          </w:tcPr>
          <w:p w14:paraId="37795E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8"/>
                <w:rFonts w:hAnsi="Times New Roman"/>
                <w:bdr w:val="none" w:color="auto" w:sz="0" w:space="0"/>
                <w:lang w:val="en-US" w:eastAsia="zh-CN" w:bidi="ar"/>
              </w:rPr>
              <w:t>被征地单位</w:t>
            </w:r>
          </w:p>
        </w:tc>
        <w:tc>
          <w:tcPr>
            <w:tcW w:w="21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1E99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8"/>
                <w:rFonts w:hAnsi="Times New Roman"/>
                <w:bdr w:val="none" w:color="auto" w:sz="0" w:space="0"/>
                <w:lang w:val="en-US" w:eastAsia="zh-CN" w:bidi="ar"/>
              </w:rPr>
              <w:t>征收土地面积</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D0DA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8"/>
                <w:rFonts w:hAnsi="Times New Roman"/>
                <w:bdr w:val="none" w:color="auto" w:sz="0" w:space="0"/>
                <w:lang w:val="en-US" w:eastAsia="zh-CN" w:bidi="ar"/>
              </w:rPr>
              <w:t>其中属于被征地单位留用地面积</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6A372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本区征地社保费计提标准（万元/亩）</w:t>
            </w:r>
          </w:p>
        </w:tc>
        <w:tc>
          <w:tcPr>
            <w:tcW w:w="183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A44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需计提征地社保费（向上取整，精确到百元，填表以此列为准）</w:t>
            </w:r>
          </w:p>
        </w:tc>
      </w:tr>
      <w:tr w14:paraId="3F667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80" w:hRule="atLeast"/>
        </w:trPr>
        <w:tc>
          <w:tcPr>
            <w:tcW w:w="1515" w:type="dxa"/>
            <w:tcBorders>
              <w:top w:val="single" w:color="000000" w:sz="4" w:space="0"/>
              <w:left w:val="single" w:color="000000" w:sz="4" w:space="0"/>
              <w:bottom w:val="nil"/>
              <w:right w:val="single" w:color="000000" w:sz="4" w:space="0"/>
            </w:tcBorders>
            <w:shd w:val="clear"/>
            <w:vAlign w:val="center"/>
          </w:tcPr>
          <w:p w14:paraId="795DE6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镇街</w:t>
            </w:r>
          </w:p>
        </w:tc>
        <w:tc>
          <w:tcPr>
            <w:tcW w:w="4470" w:type="dxa"/>
            <w:tcBorders>
              <w:top w:val="single" w:color="000000" w:sz="4" w:space="0"/>
              <w:left w:val="single" w:color="000000" w:sz="4" w:space="0"/>
              <w:bottom w:val="nil"/>
              <w:right w:val="single" w:color="000000" w:sz="4" w:space="0"/>
            </w:tcBorders>
            <w:shd w:val="clear"/>
            <w:vAlign w:val="center"/>
          </w:tcPr>
          <w:p w14:paraId="667487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村</w:t>
            </w:r>
          </w:p>
        </w:tc>
        <w:tc>
          <w:tcPr>
            <w:tcW w:w="21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99DE1E">
            <w:pPr>
              <w:jc w:val="center"/>
              <w:rPr>
                <w:rFonts w:hint="default" w:ascii="Times New Roman" w:hAnsi="Times New Roman" w:eastAsia="宋体" w:cs="Times New Roman"/>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91D1D4">
            <w:pPr>
              <w:jc w:val="center"/>
              <w:rPr>
                <w:rFonts w:hint="default" w:ascii="Times New Roman" w:hAnsi="Times New Roman" w:eastAsia="宋体" w:cs="Times New Roman"/>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43A5AE">
            <w:pPr>
              <w:jc w:val="center"/>
              <w:rPr>
                <w:rFonts w:hint="eastAsia" w:ascii="仿宋_GB2312" w:hAnsi="宋体" w:eastAsia="仿宋_GB2312" w:cs="仿宋_GB2312"/>
                <w:i w:val="0"/>
                <w:iCs w:val="0"/>
                <w:color w:val="000000"/>
                <w:sz w:val="24"/>
                <w:szCs w:val="24"/>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9E996D">
            <w:pPr>
              <w:jc w:val="center"/>
              <w:rPr>
                <w:rFonts w:hint="eastAsia" w:ascii="宋体" w:hAnsi="宋体" w:eastAsia="宋体" w:cs="宋体"/>
                <w:i w:val="0"/>
                <w:iCs w:val="0"/>
                <w:color w:val="000000"/>
                <w:sz w:val="22"/>
                <w:szCs w:val="22"/>
                <w:u w:val="none"/>
              </w:rPr>
            </w:pPr>
          </w:p>
        </w:tc>
      </w:tr>
      <w:tr w14:paraId="32B1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02" w:hRule="atLeast"/>
        </w:trPr>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36E8175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南沙街道</w:t>
            </w:r>
          </w:p>
        </w:tc>
        <w:tc>
          <w:tcPr>
            <w:tcW w:w="4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8F362">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广州市南沙区南沙街道坦尾经济联合社</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2ABB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2.238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4765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0.021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2B7AE3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2.9</w:t>
            </w:r>
          </w:p>
        </w:tc>
        <w:tc>
          <w:tcPr>
            <w:tcW w:w="1830" w:type="dxa"/>
            <w:tcBorders>
              <w:top w:val="nil"/>
              <w:left w:val="single" w:color="000000" w:sz="4" w:space="0"/>
              <w:bottom w:val="single" w:color="000000" w:sz="4" w:space="0"/>
              <w:right w:val="single" w:color="000000" w:sz="4" w:space="0"/>
            </w:tcBorders>
            <w:shd w:val="clear"/>
            <w:vAlign w:val="center"/>
          </w:tcPr>
          <w:p w14:paraId="598F89A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6.43 </w:t>
            </w:r>
          </w:p>
        </w:tc>
      </w:tr>
      <w:tr w14:paraId="00B42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0" w:hRule="atLeast"/>
        </w:trPr>
        <w:tc>
          <w:tcPr>
            <w:tcW w:w="5985" w:type="dxa"/>
            <w:gridSpan w:val="2"/>
            <w:tcBorders>
              <w:top w:val="nil"/>
              <w:left w:val="single" w:color="000000" w:sz="4" w:space="0"/>
              <w:bottom w:val="single" w:color="000000" w:sz="4" w:space="0"/>
              <w:right w:val="single" w:color="000000" w:sz="4" w:space="0"/>
            </w:tcBorders>
            <w:shd w:val="clear"/>
            <w:vAlign w:val="center"/>
          </w:tcPr>
          <w:p w14:paraId="518131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合</w:t>
            </w:r>
            <w:r>
              <w:rPr>
                <w:rStyle w:val="9"/>
                <w:rFonts w:eastAsia="宋体"/>
                <w:bdr w:val="none" w:color="auto" w:sz="0" w:space="0"/>
                <w:lang w:val="en-US" w:eastAsia="zh-CN" w:bidi="ar"/>
              </w:rPr>
              <w:t xml:space="preserve">      </w:t>
            </w:r>
            <w:r>
              <w:rPr>
                <w:rStyle w:val="10"/>
                <w:bdr w:val="none" w:color="auto" w:sz="0" w:space="0"/>
                <w:lang w:val="en-US" w:eastAsia="zh-CN" w:bidi="ar"/>
              </w:rPr>
              <w:t>计</w:t>
            </w:r>
          </w:p>
        </w:tc>
        <w:tc>
          <w:tcPr>
            <w:tcW w:w="2100" w:type="dxa"/>
            <w:tcBorders>
              <w:top w:val="nil"/>
              <w:left w:val="single" w:color="000000" w:sz="4" w:space="0"/>
              <w:bottom w:val="single" w:color="000000" w:sz="4" w:space="0"/>
              <w:right w:val="single" w:color="000000" w:sz="4" w:space="0"/>
            </w:tcBorders>
            <w:shd w:val="clear"/>
            <w:vAlign w:val="center"/>
          </w:tcPr>
          <w:p w14:paraId="276E0E0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2.238</w:t>
            </w:r>
          </w:p>
        </w:tc>
        <w:tc>
          <w:tcPr>
            <w:tcW w:w="1080" w:type="dxa"/>
            <w:tcBorders>
              <w:top w:val="nil"/>
              <w:left w:val="single" w:color="000000" w:sz="4" w:space="0"/>
              <w:bottom w:val="single" w:color="000000" w:sz="4" w:space="0"/>
              <w:right w:val="single" w:color="000000" w:sz="4" w:space="0"/>
            </w:tcBorders>
            <w:shd w:val="clear"/>
            <w:vAlign w:val="center"/>
          </w:tcPr>
          <w:p w14:paraId="0486CAC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0.021</w:t>
            </w:r>
          </w:p>
        </w:tc>
        <w:tc>
          <w:tcPr>
            <w:tcW w:w="1080" w:type="dxa"/>
            <w:tcBorders>
              <w:top w:val="nil"/>
              <w:left w:val="single" w:color="000000" w:sz="4" w:space="0"/>
              <w:bottom w:val="single" w:color="000000" w:sz="4" w:space="0"/>
              <w:right w:val="single" w:color="000000" w:sz="4" w:space="0"/>
            </w:tcBorders>
            <w:shd w:val="clear"/>
            <w:vAlign w:val="center"/>
          </w:tcPr>
          <w:p w14:paraId="6DCCE608">
            <w:pPr>
              <w:jc w:val="center"/>
              <w:rPr>
                <w:rFonts w:hint="eastAsia" w:ascii="宋体" w:hAnsi="宋体" w:eastAsia="宋体" w:cs="宋体"/>
                <w:i w:val="0"/>
                <w:iCs w:val="0"/>
                <w:color w:val="000000"/>
                <w:sz w:val="28"/>
                <w:szCs w:val="28"/>
                <w:u w:val="none"/>
              </w:rPr>
            </w:pPr>
          </w:p>
        </w:tc>
        <w:tc>
          <w:tcPr>
            <w:tcW w:w="1830" w:type="dxa"/>
            <w:tcBorders>
              <w:top w:val="nil"/>
              <w:left w:val="single" w:color="000000" w:sz="4" w:space="0"/>
              <w:bottom w:val="single" w:color="000000" w:sz="4" w:space="0"/>
              <w:right w:val="single" w:color="000000" w:sz="4" w:space="0"/>
            </w:tcBorders>
            <w:shd w:val="clear"/>
            <w:vAlign w:val="center"/>
          </w:tcPr>
          <w:p w14:paraId="398A95A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6.43 </w:t>
            </w:r>
          </w:p>
        </w:tc>
      </w:tr>
      <w:tr w14:paraId="713A6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80" w:hRule="atLeast"/>
        </w:trPr>
        <w:tc>
          <w:tcPr>
            <w:tcW w:w="9165" w:type="dxa"/>
            <w:gridSpan w:val="6"/>
            <w:tcBorders>
              <w:top w:val="single" w:color="000000" w:sz="4" w:space="0"/>
              <w:left w:val="nil"/>
              <w:bottom w:val="nil"/>
              <w:right w:val="nil"/>
            </w:tcBorders>
            <w:shd w:val="clear"/>
            <w:vAlign w:val="center"/>
          </w:tcPr>
          <w:p w14:paraId="7C877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1、该项目按2.9万元/亩的标准计提征地社保费，即：征地补偿安置方案制定时，南沙区平均每亩征收农用地区片综合地价26.3万元/亩乘以11%。属于农村集体经济组织留用地的，按规定不计提征地社保费。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2、征地社保费计算结果向上取整，精确到百元。</w:t>
            </w:r>
          </w:p>
        </w:tc>
      </w:tr>
    </w:tbl>
    <w:p w14:paraId="07D06C8E">
      <w:pPr>
        <w:pStyle w:val="2"/>
      </w:pPr>
      <w:bookmarkStart w:id="0" w:name="_GoBack"/>
      <w:bookmarkEnd w:id="0"/>
    </w:p>
    <w:sectPr>
      <w:pgSz w:w="16838" w:h="11906" w:orient="landscape"/>
      <w:pgMar w:top="1587" w:right="1440" w:bottom="1474"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jMWU3NTY1Y2VjMGFiYTE2MmE0NmZhNzRkOGY1MjYifQ=="/>
  </w:docVars>
  <w:rsids>
    <w:rsidRoot w:val="2C5E032F"/>
    <w:rsid w:val="02CF5B33"/>
    <w:rsid w:val="0C1E63CC"/>
    <w:rsid w:val="10527F72"/>
    <w:rsid w:val="21BF0278"/>
    <w:rsid w:val="22BF7E90"/>
    <w:rsid w:val="253C3683"/>
    <w:rsid w:val="25C93D81"/>
    <w:rsid w:val="2C5E032F"/>
    <w:rsid w:val="2D387567"/>
    <w:rsid w:val="2ED45E4B"/>
    <w:rsid w:val="3B19239F"/>
    <w:rsid w:val="42A31736"/>
    <w:rsid w:val="43DA159D"/>
    <w:rsid w:val="4B042A0C"/>
    <w:rsid w:val="4BC96765"/>
    <w:rsid w:val="4CB64667"/>
    <w:rsid w:val="4EE44509"/>
    <w:rsid w:val="5273168E"/>
    <w:rsid w:val="553271D3"/>
    <w:rsid w:val="5A7E704F"/>
    <w:rsid w:val="5C551D8E"/>
    <w:rsid w:val="5D2D2D8F"/>
    <w:rsid w:val="613859AA"/>
    <w:rsid w:val="6407651A"/>
    <w:rsid w:val="74CE5F27"/>
    <w:rsid w:val="786069C6"/>
    <w:rsid w:val="78AE701A"/>
    <w:rsid w:val="7CCB3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640" w:lineRule="exact"/>
      <w:jc w:val="center"/>
      <w:outlineLvl w:val="0"/>
    </w:pPr>
    <w:rPr>
      <w:rFonts w:eastAsia="方正小标宋简体"/>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font131"/>
    <w:basedOn w:val="6"/>
    <w:uiPriority w:val="0"/>
    <w:rPr>
      <w:rFonts w:hint="eastAsia" w:ascii="仿宋_GB2312" w:eastAsia="仿宋_GB2312" w:cs="仿宋_GB2312"/>
      <w:b/>
      <w:bCs/>
      <w:color w:val="FF0000"/>
      <w:sz w:val="40"/>
      <w:szCs w:val="40"/>
      <w:u w:val="none"/>
    </w:rPr>
  </w:style>
  <w:style w:type="character" w:customStyle="1" w:styleId="8">
    <w:name w:val="font61"/>
    <w:basedOn w:val="6"/>
    <w:uiPriority w:val="0"/>
    <w:rPr>
      <w:rFonts w:hint="eastAsia" w:ascii="仿宋_GB2312" w:eastAsia="仿宋_GB2312" w:cs="仿宋_GB2312"/>
      <w:color w:val="000000"/>
      <w:sz w:val="24"/>
      <w:szCs w:val="24"/>
      <w:u w:val="none"/>
    </w:rPr>
  </w:style>
  <w:style w:type="character" w:customStyle="1" w:styleId="9">
    <w:name w:val="font121"/>
    <w:basedOn w:val="6"/>
    <w:uiPriority w:val="0"/>
    <w:rPr>
      <w:rFonts w:hint="default" w:ascii="Times New Roman" w:hAnsi="Times New Roman" w:cs="Times New Roman"/>
      <w:color w:val="000000"/>
      <w:sz w:val="28"/>
      <w:szCs w:val="28"/>
      <w:u w:val="none"/>
    </w:rPr>
  </w:style>
  <w:style w:type="character" w:customStyle="1" w:styleId="10">
    <w:name w:val="font112"/>
    <w:basedOn w:val="6"/>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3</Pages>
  <Words>1196</Words>
  <Characters>1274</Characters>
  <Lines>0</Lines>
  <Paragraphs>0</Paragraphs>
  <TotalTime>8</TotalTime>
  <ScaleCrop>false</ScaleCrop>
  <LinksUpToDate>false</LinksUpToDate>
  <CharactersWithSpaces>1324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2024-03-13T03:42:00Z</dcterms:created>
  <dc:creator>何艺映</dc:creator>
  <cp:lastModifiedBy>张小柔</cp:lastModifiedBy>
  <dcterms:modified xsi:type="dcterms:W3CDTF">2025-12-18T01:41:14Z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99C43A988C3B454C8AE259C62B5D75F7</vt:lpwstr>
  </property>
  <property fmtid="{D5CDD505-2E9C-101B-9397-08002B2CF9AE}" pid="4" name="KSOTemplateDocerSaveRecord">
    <vt:lpwstr>eyJoZGlkIjoiNzBhNTEwMGY5MjJjM2Q2ZTAyODNkYmY2NDY1Y2Q0M2QiLCJ1c2VySWQiOiIxNDAwMDQ1NDQzIn0=</vt:lpwstr>
  </property>
</Properties>
</file>