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ascii="方正小标宋_GBK" w:hAnsi="方正小标宋_GBK" w:eastAsia="方正小标宋_GBK" w:cs="方正小标宋_GBK"/>
          <w:bCs/>
          <w:sz w:val="44"/>
          <w:szCs w:val="44"/>
        </w:rPr>
      </w:pPr>
      <w:r>
        <w:rPr>
          <w:rFonts w:eastAsia="仿宋_GB2312"/>
          <w:sz w:val="32"/>
          <w:szCs w:val="32"/>
        </w:rPr>
        <w:t>粤府土审（02）〔202</w:t>
      </w:r>
      <w:r>
        <w:rPr>
          <w:rFonts w:hint="eastAsia" w:eastAsia="仿宋_GB2312"/>
          <w:sz w:val="32"/>
          <w:szCs w:val="32"/>
          <w:lang w:val="en-US" w:eastAsia="zh-CN"/>
        </w:rPr>
        <w:t>3</w:t>
      </w:r>
      <w:r>
        <w:rPr>
          <w:rFonts w:eastAsia="仿宋_GB2312"/>
          <w:sz w:val="32"/>
          <w:szCs w:val="32"/>
        </w:rPr>
        <w:t>〕</w:t>
      </w:r>
      <w:r>
        <w:rPr>
          <w:rFonts w:hint="eastAsia" w:eastAsia="仿宋_GB2312"/>
          <w:sz w:val="32"/>
          <w:szCs w:val="32"/>
          <w:lang w:val="en-US" w:eastAsia="zh-CN"/>
        </w:rPr>
        <w:t>158</w:t>
      </w:r>
      <w:r>
        <w:rPr>
          <w:rFonts w:eastAsia="仿宋_GB2312"/>
          <w:sz w:val="32"/>
          <w:szCs w:val="32"/>
        </w:rPr>
        <w:t>号</w:t>
      </w:r>
    </w:p>
    <w:p w14:paraId="34ACF8B5">
      <w:pPr>
        <w:spacing w:line="560" w:lineRule="exact"/>
        <w:jc w:val="center"/>
        <w:rPr>
          <w:rFonts w:ascii="方正小标宋_GBK" w:hAnsi="方正小标宋_GBK" w:eastAsia="方正小标宋_GBK" w:cs="方正小标宋_GBK"/>
          <w:bCs/>
          <w:sz w:val="44"/>
          <w:szCs w:val="44"/>
        </w:rPr>
      </w:pPr>
    </w:p>
    <w:p w14:paraId="467F52BD">
      <w:pPr>
        <w:spacing w:line="560" w:lineRule="exact"/>
        <w:jc w:val="center"/>
        <w:rPr>
          <w:rFonts w:hint="eastAsia" w:eastAsia="仿宋_GB2312"/>
          <w:sz w:val="44"/>
          <w:szCs w:val="44"/>
          <w:lang w:val="en-US" w:eastAsia="zh-CN"/>
        </w:rPr>
      </w:pPr>
      <w:r>
        <w:rPr>
          <w:rFonts w:hint="eastAsia" w:ascii="方正小标宋简体" w:hAnsi="方正小标宋简体" w:eastAsia="方正小标宋简体" w:cs="方正小标宋简体"/>
          <w:bCs/>
          <w:sz w:val="44"/>
          <w:szCs w:val="44"/>
        </w:rPr>
        <w:t>广东省人民政府关于广州市花都区</w:t>
      </w:r>
      <w:r>
        <w:rPr>
          <w:rFonts w:hint="eastAsia" w:eastAsia="仿宋_GB2312"/>
          <w:sz w:val="44"/>
          <w:szCs w:val="44"/>
        </w:rPr>
        <w:t>202</w:t>
      </w:r>
      <w:r>
        <w:rPr>
          <w:rFonts w:hint="eastAsia" w:eastAsia="仿宋_GB2312"/>
          <w:sz w:val="44"/>
          <w:szCs w:val="44"/>
          <w:lang w:val="en-US" w:eastAsia="zh-CN"/>
        </w:rPr>
        <w:t>3</w:t>
      </w:r>
    </w:p>
    <w:p w14:paraId="139C3C7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年度第</w:t>
      </w:r>
      <w:r>
        <w:rPr>
          <w:rFonts w:hint="eastAsia" w:ascii="方正小标宋简体" w:hAnsi="方正小标宋简体" w:eastAsia="方正小标宋简体" w:cs="方正小标宋简体"/>
          <w:bCs/>
          <w:sz w:val="44"/>
          <w:szCs w:val="44"/>
          <w:lang w:val="en-US" w:eastAsia="zh-CN"/>
        </w:rPr>
        <w:t>七</w:t>
      </w:r>
      <w:r>
        <w:rPr>
          <w:rFonts w:hint="eastAsia" w:ascii="方正小标宋简体" w:hAnsi="方正小标宋简体" w:eastAsia="方正小标宋简体" w:cs="方正小标宋简体"/>
          <w:bCs/>
          <w:sz w:val="44"/>
          <w:szCs w:val="44"/>
        </w:rPr>
        <w:t>批次城镇建设用地的批复</w:t>
      </w:r>
    </w:p>
    <w:p w14:paraId="66CA970B">
      <w:pPr>
        <w:widowControl/>
        <w:spacing w:line="600" w:lineRule="exact"/>
        <w:jc w:val="center"/>
        <w:textAlignment w:val="baseline"/>
        <w:rPr>
          <w:b/>
          <w:sz w:val="32"/>
          <w:szCs w:val="32"/>
        </w:rPr>
      </w:pPr>
    </w:p>
    <w:p w14:paraId="093046C0">
      <w:pPr>
        <w:widowControl/>
        <w:spacing w:line="560" w:lineRule="exact"/>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14:paraId="5284D289">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广州市规划和自然资源局</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eastAsia="zh-CN"/>
        </w:rPr>
        <w:t>审批</w:t>
      </w:r>
      <w:r>
        <w:rPr>
          <w:rFonts w:hint="eastAsia" w:ascii="仿宋_GB2312" w:hAnsi="仿宋_GB2312" w:eastAsia="仿宋_GB2312" w:cs="仿宋_GB2312"/>
          <w:sz w:val="32"/>
          <w:szCs w:val="32"/>
        </w:rPr>
        <w:t>广州市花都区</w:t>
      </w:r>
      <w:r>
        <w:rPr>
          <w:rFonts w:hint="eastAsia" w:eastAsia="仿宋_GB2312"/>
          <w:sz w:val="32"/>
          <w:szCs w:val="32"/>
        </w:rPr>
        <w:t>202</w:t>
      </w:r>
      <w:r>
        <w:rPr>
          <w:rFonts w:hint="eastAsia" w:eastAsia="仿宋_GB2312"/>
          <w:sz w:val="32"/>
          <w:szCs w:val="32"/>
          <w:lang w:val="en-US" w:eastAsia="zh-CN"/>
        </w:rPr>
        <w:t>3</w:t>
      </w:r>
      <w:r>
        <w:rPr>
          <w:rFonts w:hint="eastAsia" w:ascii="仿宋_GB2312" w:hAnsi="仿宋_GB2312" w:eastAsia="仿宋_GB2312" w:cs="仿宋_GB2312"/>
          <w:sz w:val="32"/>
          <w:szCs w:val="32"/>
        </w:rPr>
        <w:t>年度第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批次城镇建设用地的请示》（</w:t>
      </w:r>
      <w:r>
        <w:rPr>
          <w:rFonts w:hint="eastAsia" w:ascii="仿宋_GB2312" w:hAnsi="仿宋_GB2312" w:eastAsia="仿宋_GB2312" w:cs="仿宋_GB2312"/>
          <w:sz w:val="32"/>
          <w:szCs w:val="32"/>
          <w:lang w:eastAsia="zh-CN"/>
        </w:rPr>
        <w:t>穗规划资源（用地）报</w:t>
      </w:r>
      <w:r>
        <w:rPr>
          <w:rFonts w:hint="eastAsia" w:eastAsia="仿宋_GB2312"/>
          <w:sz w:val="32"/>
          <w:szCs w:val="32"/>
        </w:rPr>
        <w:t>〔202</w:t>
      </w:r>
      <w:r>
        <w:rPr>
          <w:rFonts w:hint="eastAsia" w:eastAsia="仿宋_GB2312"/>
          <w:sz w:val="32"/>
          <w:szCs w:val="32"/>
          <w:lang w:val="en-US" w:eastAsia="zh-CN"/>
        </w:rPr>
        <w:t>3</w:t>
      </w:r>
      <w:r>
        <w:rPr>
          <w:rFonts w:hint="eastAsia" w:eastAsia="仿宋_GB2312"/>
          <w:sz w:val="32"/>
          <w:szCs w:val="32"/>
        </w:rPr>
        <w:t>〕</w:t>
      </w:r>
      <w:r>
        <w:rPr>
          <w:rFonts w:hint="eastAsia" w:eastAsia="仿宋_GB2312"/>
          <w:sz w:val="32"/>
          <w:szCs w:val="32"/>
          <w:lang w:val="en-US" w:eastAsia="zh-CN"/>
        </w:rPr>
        <w:t>257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zh-CN"/>
        </w:rPr>
        <w:t>）、《花都区人民政府关于申请广州市花都区</w:t>
      </w:r>
      <w:r>
        <w:rPr>
          <w:rFonts w:hint="eastAsia" w:ascii="仿宋_GB2312" w:hAnsi="仿宋_GB2312" w:eastAsia="仿宋_GB2312" w:cs="仿宋_GB2312"/>
          <w:sz w:val="32"/>
          <w:szCs w:val="32"/>
          <w:lang w:val="en-US" w:eastAsia="zh-CN"/>
        </w:rPr>
        <w:t>2023年度第七批次城镇建设用地土地征收的请示</w:t>
      </w:r>
      <w:r>
        <w:rPr>
          <w:rFonts w:hint="eastAsia" w:ascii="仿宋_GB2312" w:hAnsi="仿宋_GB2312" w:eastAsia="仿宋_GB2312" w:cs="仿宋_GB2312"/>
          <w:sz w:val="32"/>
          <w:szCs w:val="32"/>
          <w:lang w:val="zh-CN"/>
        </w:rPr>
        <w:t>》（花府字</w:t>
      </w:r>
      <w:r>
        <w:rPr>
          <w:rFonts w:hint="eastAsia" w:eastAsia="仿宋_GB2312"/>
          <w:sz w:val="32"/>
          <w:szCs w:val="32"/>
        </w:rPr>
        <w:t>〔202</w:t>
      </w:r>
      <w:r>
        <w:rPr>
          <w:rFonts w:hint="eastAsia" w:eastAsia="仿宋_GB2312"/>
          <w:sz w:val="32"/>
          <w:szCs w:val="32"/>
          <w:lang w:val="en-US" w:eastAsia="zh-CN"/>
        </w:rPr>
        <w:t>3</w:t>
      </w:r>
      <w:r>
        <w:rPr>
          <w:rFonts w:hint="eastAsia" w:eastAsia="仿宋_GB2312"/>
          <w:sz w:val="32"/>
          <w:szCs w:val="32"/>
        </w:rPr>
        <w:t>〕</w:t>
      </w:r>
      <w:r>
        <w:rPr>
          <w:rFonts w:hint="eastAsia" w:eastAsia="仿宋_GB2312"/>
          <w:sz w:val="32"/>
          <w:szCs w:val="32"/>
          <w:lang w:val="en-US" w:eastAsia="zh-CN"/>
        </w:rPr>
        <w:t>100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及相关材料已通过审核。根据《中华人民共和国土地管理法》第四十四、四十五、四十六条</w:t>
      </w:r>
      <w:r>
        <w:rPr>
          <w:rFonts w:hint="eastAsia" w:ascii="仿宋_GB2312" w:hAnsi="仿宋_GB2312" w:eastAsia="仿宋_GB2312" w:cs="仿宋_GB2312"/>
          <w:sz w:val="32"/>
          <w:szCs w:val="32"/>
          <w:lang w:eastAsia="zh-CN"/>
        </w:rPr>
        <w:t>以及《广东省土地管理条例》第二十五条的有关规定</w:t>
      </w:r>
      <w:r>
        <w:rPr>
          <w:rFonts w:hint="eastAsia" w:ascii="仿宋_GB2312" w:hAnsi="仿宋_GB2312" w:eastAsia="仿宋_GB2312" w:cs="仿宋_GB2312"/>
          <w:sz w:val="32"/>
          <w:szCs w:val="32"/>
        </w:rPr>
        <w:t>，批复如下：</w:t>
      </w:r>
    </w:p>
    <w:p w14:paraId="675C8925">
      <w:pPr>
        <w:pStyle w:val="4"/>
        <w:widowControl w:val="0"/>
        <w:numPr>
          <w:ilvl w:val="0"/>
          <w:numId w:val="1"/>
        </w:numPr>
        <w:autoSpaceDE w:val="0"/>
        <w:autoSpaceDN w:val="0"/>
        <w:spacing w:line="580" w:lineRule="exact"/>
        <w:ind w:firstLine="640" w:firstLineChars="200"/>
        <w:rPr>
          <w:rFonts w:eastAsia="仿宋_GB2312"/>
          <w:color w:val="000000"/>
          <w:szCs w:val="32"/>
          <w:highlight w:val="none"/>
        </w:rPr>
      </w:pPr>
      <w:r>
        <w:rPr>
          <w:rFonts w:hint="eastAsia" w:ascii="仿宋_GB2312" w:hAnsi="仿宋_GB2312" w:eastAsia="仿宋_GB2312" w:cs="仿宋_GB2312"/>
          <w:szCs w:val="32"/>
        </w:rPr>
        <w:t>同意使用</w:t>
      </w:r>
      <w:r>
        <w:rPr>
          <w:rFonts w:hint="eastAsia" w:eastAsia="仿宋_GB2312"/>
          <w:szCs w:val="32"/>
          <w:lang w:val="en-US" w:eastAsia="zh-CN"/>
        </w:rPr>
        <w:t>67.2593</w:t>
      </w:r>
      <w:r>
        <w:rPr>
          <w:rFonts w:hint="eastAsia" w:eastAsia="仿宋_GB2312"/>
          <w:szCs w:val="32"/>
        </w:rPr>
        <w:t>公顷城镇建设用地，即同意你市将花都区</w:t>
      </w:r>
      <w:r>
        <w:rPr>
          <w:rFonts w:hint="eastAsia" w:eastAsia="仿宋_GB2312"/>
          <w:szCs w:val="32"/>
          <w:lang w:eastAsia="zh-CN"/>
        </w:rPr>
        <w:t>花山镇东湖村第二、第三、第四、第五、第六、第七、第八、第九、第十九、第二十、第二十一、第二十二、第二十四、第二十五经济合作社，东湖村经济联合社；花山镇平东村第八、第九、第十、第十一、第十二、第十三经济合作社；新雅街广塘村北二经济合作社；新雅街团结村西北庄经济合作社、团结经济联合社</w:t>
      </w:r>
      <w:r>
        <w:rPr>
          <w:rFonts w:hint="eastAsia" w:ascii="仿宋_GB2312" w:hAnsi="仿宋_GB2312" w:eastAsia="仿宋_GB2312" w:cs="仿宋_GB2312"/>
          <w:szCs w:val="32"/>
          <w:lang w:val="zh-CN" w:eastAsia="zh-CN"/>
        </w:rPr>
        <w:t>属下</w:t>
      </w:r>
      <w:r>
        <w:rPr>
          <w:rFonts w:hint="eastAsia" w:ascii="仿宋_GB2312" w:hAnsi="仿宋_GB2312" w:eastAsia="仿宋_GB2312" w:cs="仿宋_GB2312"/>
          <w:kern w:val="2"/>
          <w:sz w:val="32"/>
          <w:szCs w:val="32"/>
          <w:lang w:val="zh-CN" w:eastAsia="zh-CN" w:bidi="ar-SA"/>
        </w:rPr>
        <w:t>的集体农用地</w:t>
      </w:r>
      <w:r>
        <w:rPr>
          <w:rFonts w:hint="eastAsia" w:eastAsia="仿宋_GB2312"/>
          <w:szCs w:val="32"/>
          <w:lang w:val="en-US" w:eastAsia="zh-CN"/>
        </w:rPr>
        <w:t>60.9942</w:t>
      </w:r>
      <w:r>
        <w:rPr>
          <w:rFonts w:hint="eastAsia" w:ascii="仿宋_GB2312" w:hAnsi="仿宋_GB2312" w:eastAsia="仿宋_GB2312" w:cs="仿宋_GB2312"/>
          <w:szCs w:val="32"/>
          <w:lang w:eastAsia="zh-CN"/>
        </w:rPr>
        <w:t>公顷</w:t>
      </w:r>
      <w:r>
        <w:rPr>
          <w:rFonts w:hint="eastAsia" w:ascii="仿宋_GB2312" w:hAnsi="仿宋_GB2312" w:eastAsia="仿宋_GB2312" w:cs="仿宋_GB2312"/>
          <w:szCs w:val="32"/>
          <w:highlight w:val="none"/>
          <w:lang w:eastAsia="zh-CN"/>
        </w:rPr>
        <w:t>（其中耕地</w:t>
      </w:r>
      <w:r>
        <w:rPr>
          <w:rFonts w:hint="eastAsia" w:eastAsia="仿宋_GB2312"/>
          <w:szCs w:val="32"/>
          <w:highlight w:val="none"/>
          <w:lang w:val="en-US" w:eastAsia="zh-CN"/>
        </w:rPr>
        <w:t>12.7215</w:t>
      </w:r>
      <w:r>
        <w:rPr>
          <w:rFonts w:hint="eastAsia" w:ascii="仿宋_GB2312" w:hAnsi="仿宋_GB2312" w:eastAsia="仿宋_GB2312" w:cs="仿宋_GB2312"/>
          <w:szCs w:val="32"/>
          <w:highlight w:val="none"/>
          <w:lang w:val="en-US" w:eastAsia="zh-CN"/>
        </w:rPr>
        <w:t>公顷</w:t>
      </w:r>
      <w:r>
        <w:rPr>
          <w:rFonts w:hint="eastAsia" w:ascii="仿宋_GB2312" w:hAnsi="仿宋_GB2312" w:eastAsia="仿宋_GB2312" w:cs="仿宋_GB2312"/>
          <w:szCs w:val="32"/>
          <w:highlight w:val="none"/>
          <w:lang w:eastAsia="zh-CN"/>
        </w:rPr>
        <w:t>）、未利用地</w:t>
      </w:r>
      <w:r>
        <w:rPr>
          <w:rFonts w:hint="eastAsia" w:eastAsia="仿宋_GB2312"/>
          <w:szCs w:val="32"/>
          <w:lang w:val="en-US" w:eastAsia="zh-CN"/>
        </w:rPr>
        <w:t>0.6475</w:t>
      </w:r>
      <w:r>
        <w:rPr>
          <w:rFonts w:hint="eastAsia" w:ascii="仿宋_GB2312" w:hAnsi="仿宋_GB2312" w:eastAsia="仿宋_GB2312" w:cs="仿宋_GB2312"/>
          <w:szCs w:val="32"/>
          <w:highlight w:val="none"/>
          <w:lang w:val="en-US" w:eastAsia="zh-CN"/>
        </w:rPr>
        <w:t>公顷</w:t>
      </w:r>
      <w:r>
        <w:rPr>
          <w:rFonts w:hint="eastAsia" w:ascii="仿宋_GB2312" w:hAnsi="仿宋_GB2312" w:eastAsia="仿宋_GB2312" w:cs="仿宋_GB2312"/>
          <w:szCs w:val="32"/>
          <w:highlight w:val="none"/>
          <w:lang w:eastAsia="zh-CN"/>
        </w:rPr>
        <w:t>转为建设用地</w:t>
      </w:r>
      <w:r>
        <w:rPr>
          <w:rFonts w:hint="eastAsia" w:ascii="仿宋_GB2312" w:hAnsi="仿宋_GB2312" w:eastAsia="仿宋_GB2312" w:cs="仿宋_GB2312"/>
          <w:szCs w:val="32"/>
          <w:highlight w:val="none"/>
          <w:lang w:val="en-US" w:eastAsia="zh-CN"/>
        </w:rPr>
        <w:t>，同时使用上述有关村集体建设用地</w:t>
      </w:r>
      <w:r>
        <w:rPr>
          <w:rFonts w:hint="eastAsia" w:eastAsia="仿宋_GB2312"/>
          <w:szCs w:val="32"/>
          <w:highlight w:val="none"/>
          <w:lang w:val="en-US" w:eastAsia="zh-CN"/>
        </w:rPr>
        <w:t>5.6176</w:t>
      </w:r>
      <w:r>
        <w:rPr>
          <w:rFonts w:hint="eastAsia" w:ascii="仿宋_GB2312" w:hAnsi="仿宋_GB2312" w:eastAsia="仿宋_GB2312" w:cs="仿宋_GB2312"/>
          <w:szCs w:val="32"/>
          <w:highlight w:val="none"/>
          <w:lang w:val="en-US" w:eastAsia="zh-CN"/>
        </w:rPr>
        <w:t>公顷，</w:t>
      </w:r>
      <w:r>
        <w:rPr>
          <w:rFonts w:hint="eastAsia" w:ascii="仿宋_GB2312" w:hAnsi="仿宋_GB2312" w:eastAsia="仿宋_GB2312" w:cs="仿宋_GB2312"/>
          <w:szCs w:val="32"/>
          <w:highlight w:val="none"/>
          <w:lang w:val="zh-CN" w:eastAsia="zh-CN"/>
        </w:rPr>
        <w:t>以上合计</w:t>
      </w:r>
      <w:r>
        <w:rPr>
          <w:rFonts w:hint="eastAsia" w:eastAsia="仿宋_GB2312"/>
          <w:szCs w:val="32"/>
          <w:highlight w:val="none"/>
          <w:lang w:val="en-US" w:eastAsia="zh-CN"/>
        </w:rPr>
        <w:t>67.2593</w:t>
      </w:r>
      <w:r>
        <w:rPr>
          <w:rFonts w:hint="eastAsia" w:ascii="仿宋_GB2312" w:hAnsi="仿宋_GB2312" w:eastAsia="仿宋_GB2312" w:cs="仿宋_GB2312"/>
          <w:szCs w:val="32"/>
          <w:highlight w:val="none"/>
          <w:lang w:val="zh-CN" w:eastAsia="zh-CN"/>
        </w:rPr>
        <w:t>公顷集体土地一并办理征地手续。</w:t>
      </w:r>
      <w:r>
        <w:rPr>
          <w:rFonts w:hint="eastAsia" w:ascii="仿宋_GB2312" w:hAnsi="仿宋_GB2312" w:eastAsia="仿宋_GB2312" w:cs="仿宋_GB2312"/>
          <w:szCs w:val="32"/>
          <w:highlight w:val="none"/>
          <w:lang w:val="en-US" w:eastAsia="zh-CN"/>
        </w:rPr>
        <w:t>上述土地（合计</w:t>
      </w:r>
      <w:r>
        <w:rPr>
          <w:rFonts w:hint="eastAsia" w:eastAsia="仿宋_GB2312"/>
          <w:szCs w:val="32"/>
          <w:highlight w:val="none"/>
          <w:lang w:val="en-US" w:eastAsia="zh-CN"/>
        </w:rPr>
        <w:t>67.2593</w:t>
      </w:r>
      <w:r>
        <w:rPr>
          <w:rFonts w:hint="eastAsia" w:ascii="仿宋_GB2312" w:hAnsi="仿宋_GB2312" w:eastAsia="仿宋_GB2312" w:cs="仿宋_GB2312"/>
          <w:szCs w:val="32"/>
          <w:highlight w:val="none"/>
          <w:lang w:val="en-US" w:eastAsia="zh-CN"/>
        </w:rPr>
        <w:t>公顷）经完善相关手续后</w:t>
      </w:r>
      <w:r>
        <w:rPr>
          <w:rFonts w:eastAsia="仿宋_GB2312"/>
          <w:szCs w:val="32"/>
          <w:highlight w:val="none"/>
        </w:rPr>
        <w:t>由</w:t>
      </w:r>
      <w:r>
        <w:rPr>
          <w:rFonts w:eastAsia="仿宋_GB2312"/>
          <w:color w:val="000000"/>
          <w:kern w:val="0"/>
          <w:szCs w:val="32"/>
          <w:highlight w:val="none"/>
          <w:lang w:bidi="ar"/>
        </w:rPr>
        <w:t>当地人民政府</w:t>
      </w:r>
      <w:r>
        <w:rPr>
          <w:rFonts w:hint="eastAsia" w:eastAsia="仿宋_GB2312"/>
          <w:color w:val="000000"/>
          <w:kern w:val="0"/>
          <w:szCs w:val="32"/>
          <w:highlight w:val="none"/>
          <w:lang w:eastAsia="zh-CN" w:bidi="ar"/>
        </w:rPr>
        <w:t>按照土地利用总体规划和城乡规划确定的用途</w:t>
      </w:r>
      <w:r>
        <w:rPr>
          <w:rFonts w:eastAsia="仿宋_GB2312"/>
          <w:color w:val="000000"/>
          <w:kern w:val="0"/>
          <w:szCs w:val="32"/>
          <w:highlight w:val="none"/>
          <w:lang w:bidi="ar"/>
        </w:rPr>
        <w:t>供应</w:t>
      </w:r>
      <w:r>
        <w:rPr>
          <w:rFonts w:eastAsia="仿宋_GB2312"/>
          <w:color w:val="000000"/>
          <w:szCs w:val="32"/>
          <w:highlight w:val="none"/>
        </w:rPr>
        <w:t>。</w:t>
      </w:r>
    </w:p>
    <w:p w14:paraId="4AA3EB73">
      <w:pPr>
        <w:pStyle w:val="4"/>
        <w:widowControl w:val="0"/>
        <w:numPr>
          <w:ilvl w:val="0"/>
          <w:numId w:val="1"/>
        </w:numPr>
        <w:autoSpaceDE w:val="0"/>
        <w:autoSpaceDN w:val="0"/>
        <w:spacing w:line="580" w:lineRule="exact"/>
        <w:ind w:firstLine="640" w:firstLineChars="200"/>
        <w:rPr>
          <w:rFonts w:eastAsia="仿宋_GB2312"/>
          <w:color w:val="000000"/>
          <w:szCs w:val="32"/>
        </w:rPr>
      </w:pPr>
      <w:r>
        <w:rPr>
          <w:rFonts w:hint="eastAsia" w:ascii="仿宋_GB2312" w:hAnsi="仿宋_GB2312" w:eastAsia="仿宋_GB2312" w:cs="仿宋_GB2312"/>
          <w:color w:val="auto"/>
          <w:kern w:val="0"/>
          <w:sz w:val="32"/>
          <w:szCs w:val="32"/>
          <w:lang w:val="en-US" w:eastAsia="zh-CN" w:bidi="ar"/>
        </w:rPr>
        <w:t>请你</w:t>
      </w:r>
      <w:r>
        <w:rPr>
          <w:rFonts w:hint="eastAsia" w:ascii="仿宋_GB2312" w:hAnsi="仿宋_GB2312" w:eastAsia="仿宋_GB2312" w:cs="仿宋_GB2312"/>
          <w:color w:val="auto"/>
          <w:kern w:val="0"/>
          <w:sz w:val="32"/>
          <w:szCs w:val="32"/>
          <w:lang w:eastAsia="zh-CN" w:bidi="ar"/>
        </w:rPr>
        <w:t>市人民</w:t>
      </w:r>
      <w:r>
        <w:rPr>
          <w:rFonts w:hint="eastAsia" w:ascii="仿宋_GB2312" w:hAnsi="仿宋_GB2312" w:eastAsia="仿宋_GB2312" w:cs="仿宋_GB2312"/>
          <w:color w:val="auto"/>
          <w:kern w:val="0"/>
          <w:sz w:val="32"/>
          <w:szCs w:val="32"/>
          <w:lang w:val="en-US" w:eastAsia="zh-CN" w:bidi="ar"/>
        </w:rPr>
        <w:t>政府负责落实补充耕地</w:t>
      </w:r>
      <w:r>
        <w:rPr>
          <w:rFonts w:hint="eastAsia" w:ascii="仿宋_GB2312" w:hAnsi="仿宋_GB2312" w:eastAsia="仿宋_GB2312" w:cs="仿宋_GB2312"/>
          <w:color w:val="auto"/>
          <w:sz w:val="32"/>
          <w:szCs w:val="32"/>
        </w:rPr>
        <w:t>。督促补充耕地责任单位认真</w:t>
      </w:r>
      <w:r>
        <w:rPr>
          <w:rFonts w:hint="eastAsia" w:ascii="仿宋_GB2312" w:hAnsi="仿宋_GB2312" w:eastAsia="仿宋_GB2312" w:cs="仿宋_GB2312"/>
          <w:color w:val="auto"/>
          <w:sz w:val="32"/>
          <w:szCs w:val="32"/>
          <w:lang w:eastAsia="zh-CN"/>
        </w:rPr>
        <w:t>落实耕地占补平衡</w:t>
      </w:r>
      <w:r>
        <w:rPr>
          <w:rFonts w:hint="eastAsia" w:ascii="仿宋_GB2312" w:hAnsi="仿宋_GB2312" w:eastAsia="仿宋_GB2312" w:cs="仿宋_GB2312"/>
          <w:color w:val="auto"/>
          <w:sz w:val="32"/>
          <w:szCs w:val="32"/>
        </w:rPr>
        <w:t>，补充数量相等、质量相当的耕地，对应核销耕地数量、水田规模和标准粮食产能指标（确认信息编号：</w:t>
      </w:r>
      <w:r>
        <w:rPr>
          <w:rFonts w:hint="eastAsia" w:ascii="Times New Roman" w:hAnsi="Times New Roman" w:eastAsia="仿宋_GB2312" w:cs="Times New Roman"/>
          <w:color w:val="auto"/>
          <w:kern w:val="2"/>
          <w:sz w:val="32"/>
          <w:szCs w:val="32"/>
          <w:highlight w:val="none"/>
          <w:u w:val="none"/>
          <w:lang w:val="en-US" w:eastAsia="zh-CN" w:bidi="ar-SA"/>
        </w:rPr>
        <w:t>44000020</w:t>
      </w:r>
      <w:r>
        <w:rPr>
          <w:rFonts w:hint="eastAsia" w:eastAsia="仿宋_GB2312" w:cs="Times New Roman"/>
          <w:color w:val="auto"/>
          <w:kern w:val="2"/>
          <w:sz w:val="32"/>
          <w:szCs w:val="32"/>
          <w:highlight w:val="none"/>
          <w:u w:val="none"/>
          <w:lang w:val="en-US" w:eastAsia="zh-CN" w:bidi="ar-SA"/>
        </w:rPr>
        <w:t>2320626416），落实建设占用耕地耕作层土壤剥离利用。</w:t>
      </w:r>
    </w:p>
    <w:p w14:paraId="5FEF4CFB">
      <w:pPr>
        <w:pStyle w:val="4"/>
        <w:widowControl w:val="0"/>
        <w:numPr>
          <w:ilvl w:val="0"/>
          <w:numId w:val="1"/>
        </w:numPr>
        <w:autoSpaceDE w:val="0"/>
        <w:autoSpaceDN w:val="0"/>
        <w:spacing w:line="580" w:lineRule="exact"/>
        <w:ind w:firstLine="640" w:firstLineChars="200"/>
        <w:rPr>
          <w:rFonts w:eastAsia="仿宋_GB2312"/>
          <w:color w:val="000000"/>
          <w:szCs w:val="32"/>
        </w:rPr>
      </w:pPr>
      <w:r>
        <w:rPr>
          <w:rFonts w:hint="eastAsia" w:ascii="仿宋_GB2312" w:hAnsi="仿宋_GB2312" w:eastAsia="仿宋_GB2312" w:cs="仿宋_GB2312"/>
          <w:kern w:val="0"/>
          <w:sz w:val="32"/>
          <w:szCs w:val="32"/>
          <w:highlight w:val="none"/>
          <w:lang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p>
    <w:p w14:paraId="4EC4DB7F">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使用土地涉及的耕地占用税等有关税费的收缴或调整，请按有关规定办理。</w:t>
      </w:r>
    </w:p>
    <w:p w14:paraId="212330DD">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、批后实施情况和具体项目供地情况须按规定报备。</w:t>
      </w:r>
    </w:p>
    <w:p w14:paraId="187D18A0">
      <w:pPr>
        <w:widowControl/>
        <w:spacing w:line="600" w:lineRule="exact"/>
        <w:textAlignment w:val="baseline"/>
        <w:rPr>
          <w:rFonts w:ascii="仿宋_GB2312" w:hAnsi="仿宋_GB2312" w:eastAsia="仿宋_GB2312" w:cs="仿宋_GB2312"/>
          <w:sz w:val="32"/>
          <w:szCs w:val="32"/>
        </w:rPr>
      </w:pPr>
    </w:p>
    <w:p w14:paraId="41B02CD6">
      <w:pPr>
        <w:widowControl/>
        <w:spacing w:line="600" w:lineRule="exact"/>
        <w:textAlignment w:val="baseline"/>
        <w:rPr>
          <w:rFonts w:ascii="仿宋_GB2312" w:hAnsi="仿宋_GB2312" w:eastAsia="仿宋_GB2312" w:cs="仿宋_GB2312"/>
          <w:sz w:val="32"/>
          <w:szCs w:val="32"/>
        </w:rPr>
      </w:pPr>
    </w:p>
    <w:p w14:paraId="65786145">
      <w:pPr>
        <w:widowControl/>
        <w:spacing w:line="60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广东省人民政府</w:t>
      </w:r>
    </w:p>
    <w:p w14:paraId="247084E5">
      <w:pPr>
        <w:widowControl/>
        <w:spacing w:line="600" w:lineRule="exact"/>
        <w:ind w:firstLine="645"/>
        <w:jc w:val="cente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eastAsia="仿宋_GB2312"/>
          <w:sz w:val="32"/>
          <w:szCs w:val="32"/>
        </w:rPr>
        <w:t>202</w:t>
      </w:r>
      <w:r>
        <w:rPr>
          <w:rFonts w:hint="eastAsia" w:eastAsia="仿宋_GB2312"/>
          <w:sz w:val="32"/>
          <w:szCs w:val="32"/>
          <w:lang w:val="en-US" w:eastAsia="zh-CN"/>
        </w:rPr>
        <w:t>3</w:t>
      </w:r>
      <w:r>
        <w:rPr>
          <w:rFonts w:hint="eastAsia" w:eastAsia="仿宋_GB2312"/>
          <w:sz w:val="32"/>
          <w:szCs w:val="32"/>
          <w:lang w:eastAsia="zh-CN"/>
        </w:rPr>
        <w:t>年</w:t>
      </w:r>
      <w:r>
        <w:rPr>
          <w:rFonts w:hint="eastAsia" w:eastAsia="仿宋_GB2312"/>
          <w:sz w:val="32"/>
          <w:szCs w:val="32"/>
          <w:lang w:val="en-US" w:eastAsia="zh-CN"/>
        </w:rPr>
        <w:t>10</w:t>
      </w:r>
      <w:r>
        <w:rPr>
          <w:rFonts w:hint="eastAsia" w:eastAsia="仿宋_GB2312"/>
          <w:sz w:val="32"/>
          <w:szCs w:val="32"/>
        </w:rPr>
        <w:t>月</w:t>
      </w:r>
      <w:r>
        <w:rPr>
          <w:rFonts w:hint="eastAsia" w:eastAsia="仿宋_GB2312"/>
          <w:sz w:val="32"/>
          <w:szCs w:val="32"/>
          <w:lang w:val="en-US" w:eastAsia="zh-CN"/>
        </w:rPr>
        <w:t>24</w:t>
      </w:r>
      <w:r>
        <w:rPr>
          <w:rFonts w:hint="eastAsia" w:ascii="仿宋_GB2312" w:hAnsi="仿宋_GB2312" w:eastAsia="仿宋_GB2312" w:cs="仿宋_GB2312"/>
          <w:sz w:val="32"/>
          <w:szCs w:val="32"/>
        </w:rPr>
        <w:t>日</w:t>
      </w:r>
    </w:p>
    <w:p w14:paraId="0BE8B9B0"/>
    <w:p w14:paraId="7993B178"/>
    <w:p w14:paraId="7DC06B6D">
      <w:pPr>
        <w:spacing w:line="600" w:lineRule="exact"/>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14:paraId="3B30B37C">
      <w:r>
        <w:rPr>
          <w:rFonts w:eastAsia="仿宋_GB2312"/>
          <w:sz w:val="28"/>
          <w:szCs w:val="28"/>
        </w:rPr>
        <w:t>抄送：</w:t>
      </w:r>
      <w:r>
        <w:rPr>
          <w:rFonts w:hint="eastAsia" w:eastAsia="仿宋_GB2312"/>
          <w:sz w:val="28"/>
          <w:szCs w:val="28"/>
        </w:rPr>
        <w:t>国家自然资源督察广州局，财政部广东监管局，省财政厅、省</w:t>
      </w:r>
      <w:r>
        <w:rPr>
          <w:rFonts w:hint="eastAsia" w:eastAsia="仿宋_GB2312"/>
          <w:sz w:val="28"/>
          <w:szCs w:val="28"/>
          <w:lang w:val="en-US" w:eastAsia="zh-CN"/>
        </w:rPr>
        <w:t xml:space="preserve">  </w:t>
      </w:r>
      <w:r>
        <w:rPr>
          <w:rFonts w:hint="eastAsia" w:eastAsia="仿宋_GB2312"/>
          <w:sz w:val="28"/>
          <w:szCs w:val="28"/>
        </w:rPr>
        <w:t>人力资源和社会保障厅、省自然资源厅、省农业农村厅、国家税务总局广东省税务局</w:t>
      </w:r>
      <w:r>
        <w:rPr>
          <w:rFonts w:hint="eastAsia" w:eastAsia="仿宋_GB2312"/>
          <w:sz w:val="28"/>
          <w:szCs w:val="28"/>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A15D1"/>
    <w:multiLevelType w:val="singleLevel"/>
    <w:tmpl w:val="8D9A15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B876D6"/>
    <w:rsid w:val="5A151627"/>
    <w:rsid w:val="6FDD5D64"/>
    <w:rsid w:val="7F222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2025-12-22T02:18:49Z</dcterms:created>
  <cp:lastModifiedBy>Administrator</cp:lastModifiedBy>
  <dcterms:modified xsi:type="dcterms:W3CDTF">2025-12-22T02:34:17Z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1E56E76C7EF04AAE9BE5394202168892_12</vt:lpwstr>
  </property>
</Properties>
</file>