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A2E2E">
      <w:pPr>
        <w:spacing w:before="0" w:line="520" w:lineRule="exact"/>
        <w:ind w:left="0" w:right="0" w:firstLine="0"/>
        <w:jc w:val="both"/>
        <w:rPr>
          <w:rFonts w:hint="eastAsia" w:ascii="Times New Roman" w:hAnsi="Times New Roman" w:eastAsia="方正小标宋简体" w:cs="方正小标宋简体"/>
          <w:sz w:val="44"/>
          <w:szCs w:val="44"/>
        </w:rPr>
      </w:pPr>
    </w:p>
    <w:p w14:paraId="75055D21">
      <w:pPr>
        <w:spacing w:before="0" w:line="520" w:lineRule="exact"/>
        <w:ind w:left="0" w:right="0" w:firstLine="0"/>
        <w:jc w:val="both"/>
        <w:rPr>
          <w:rFonts w:hint="eastAsia" w:ascii="Times New Roman" w:hAnsi="Times New Roman" w:eastAsia="方正小标宋简体" w:cs="方正小标宋简体"/>
          <w:sz w:val="44"/>
          <w:szCs w:val="44"/>
        </w:rPr>
      </w:pPr>
    </w:p>
    <w:p w14:paraId="35EE4768">
      <w:pPr>
        <w:spacing w:before="0" w:line="520" w:lineRule="exact"/>
        <w:ind w:left="0" w:right="0" w:firstLine="0"/>
        <w:jc w:val="center"/>
        <w:rPr>
          <w:rFonts w:hint="eastAsia" w:ascii="Times New Roman" w:hAnsi="Times New Roman" w:eastAsia="方正小标宋简体" w:cs="方正小标宋简体"/>
          <w:sz w:val="44"/>
          <w:szCs w:val="44"/>
        </w:rPr>
      </w:pPr>
    </w:p>
    <w:p w14:paraId="48F262F4">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关于广州市花都区2024年度第七十三批次城镇建设用地（花都区秀全街朱村留用地</w:t>
      </w:r>
    </w:p>
    <w:p w14:paraId="537AD1AA">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仿宋_GB2312" w:hAnsi="仿宋_GB2312" w:eastAsia="仿宋_GB2312" w:cs="仿宋_GB2312"/>
          <w:sz w:val="44"/>
          <w:szCs w:val="44"/>
          <w:lang w:val="en-US" w:eastAsia="zh-CN"/>
        </w:rPr>
        <w:t>〔</w:t>
      </w:r>
      <w:r>
        <w:rPr>
          <w:rFonts w:hint="eastAsia" w:ascii="Times New Roman" w:hAnsi="Times New Roman" w:eastAsia="方正小标宋简体" w:cs="方正小标宋简体"/>
          <w:sz w:val="44"/>
          <w:szCs w:val="44"/>
          <w:lang w:val="en-US" w:eastAsia="zh-CN"/>
        </w:rPr>
        <w:t>80亩</w:t>
      </w:r>
      <w:r>
        <w:rPr>
          <w:rFonts w:hint="eastAsia" w:ascii="仿宋_GB2312" w:hAnsi="仿宋_GB2312" w:eastAsia="仿宋_GB2312" w:cs="仿宋_GB2312"/>
          <w:sz w:val="44"/>
          <w:szCs w:val="44"/>
          <w:lang w:val="en-US" w:eastAsia="zh-CN"/>
        </w:rPr>
        <w:t>〕</w:t>
      </w:r>
      <w:r>
        <w:rPr>
          <w:rFonts w:hint="eastAsia" w:ascii="Times New Roman" w:hAnsi="Times New Roman" w:eastAsia="方正小标宋简体" w:cs="方正小标宋简体"/>
          <w:sz w:val="44"/>
          <w:szCs w:val="44"/>
          <w:lang w:val="en-US" w:eastAsia="zh-CN"/>
        </w:rPr>
        <w:t>厂房建设项目）</w:t>
      </w:r>
    </w:p>
    <w:p w14:paraId="2C8EA882">
      <w:pPr>
        <w:spacing w:before="0" w:line="600" w:lineRule="exact"/>
        <w:ind w:left="0" w:right="0" w:firstLine="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征地补偿安置方案</w:t>
      </w:r>
    </w:p>
    <w:p w14:paraId="470FBD40">
      <w:pPr>
        <w:spacing w:before="7" w:line="560" w:lineRule="exact"/>
        <w:rPr>
          <w:rFonts w:ascii="Times New Roman" w:hAnsi="Times New Roman" w:eastAsia="Adobe 黑体 Std R" w:cs="Adobe 黑体 Std R"/>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为实施广州市</w:t>
      </w:r>
      <w:r>
        <w:rPr>
          <w:rFonts w:hint="eastAsia" w:ascii="Times New Roman" w:hAnsi="Times New Roman" w:eastAsia="仿宋_GB2312" w:cs="仿宋_GB2312"/>
          <w:spacing w:val="-20"/>
          <w:sz w:val="32"/>
          <w:szCs w:val="32"/>
          <w:lang w:eastAsia="zh-CN"/>
        </w:rPr>
        <w:t>花都</w:t>
      </w:r>
      <w:r>
        <w:rPr>
          <w:rFonts w:hint="eastAsia" w:ascii="Times New Roman" w:hAnsi="Times New Roman" w:eastAsia="仿宋_GB2312" w:cs="仿宋_GB2312"/>
          <w:sz w:val="32"/>
          <w:szCs w:val="32"/>
        </w:rPr>
        <w:t>区</w:t>
      </w:r>
      <w:r>
        <w:rPr>
          <w:rFonts w:hint="eastAsia" w:ascii="Times New Roman" w:hAnsi="Times New Roman" w:eastAsia="仿宋_GB2312" w:cs="仿宋_GB2312"/>
          <w:spacing w:val="-20"/>
          <w:sz w:val="32"/>
          <w:szCs w:val="32"/>
          <w:lang w:val="en-US" w:eastAsia="zh-CN"/>
        </w:rPr>
        <w:t>秀全</w:t>
      </w:r>
      <w:r>
        <w:rPr>
          <w:rFonts w:hint="eastAsia" w:ascii="Times New Roman" w:hAnsi="Times New Roman" w:eastAsia="仿宋_GB2312" w:cs="仿宋_GB2312"/>
          <w:sz w:val="32"/>
          <w:szCs w:val="32"/>
          <w:lang w:eastAsia="zh-CN"/>
        </w:rPr>
        <w:t>街</w:t>
      </w:r>
      <w:r>
        <w:rPr>
          <w:rFonts w:hint="eastAsia" w:ascii="Times New Roman" w:hAnsi="Times New Roman" w:eastAsia="仿宋_GB2312" w:cs="仿宋_GB2312"/>
          <w:sz w:val="32"/>
          <w:szCs w:val="32"/>
        </w:rPr>
        <w:t>建设规划，完善城市功</w:t>
      </w:r>
      <w:r>
        <w:rPr>
          <w:rFonts w:hint="eastAsia" w:ascii="Times New Roman" w:hAnsi="Times New Roman" w:eastAsia="仿宋_GB2312" w:cs="仿宋_GB2312"/>
          <w:spacing w:val="6"/>
          <w:sz w:val="32"/>
          <w:szCs w:val="32"/>
        </w:rPr>
        <w:t>能</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改善城市环境，促进经济、文化发展，广州市</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3"/>
          <w:sz w:val="32"/>
          <w:szCs w:val="32"/>
        </w:rPr>
        <w:t>区人</w:t>
      </w:r>
      <w:r>
        <w:rPr>
          <w:rFonts w:hint="eastAsia" w:ascii="Times New Roman" w:hAnsi="Times New Roman" w:eastAsia="仿宋_GB2312" w:cs="仿宋_GB2312"/>
          <w:spacing w:val="5"/>
          <w:sz w:val="32"/>
          <w:szCs w:val="32"/>
        </w:rPr>
        <w:t>民政府拟征收</w:t>
      </w:r>
      <w:r>
        <w:rPr>
          <w:rFonts w:hint="eastAsia" w:ascii="Times New Roman" w:hAnsi="Times New Roman" w:eastAsia="仿宋_GB2312" w:cs="仿宋_GB2312"/>
          <w:spacing w:val="5"/>
          <w:sz w:val="32"/>
          <w:szCs w:val="32"/>
          <w:lang w:eastAsia="zh-CN"/>
        </w:rPr>
        <w:t>该区</w:t>
      </w:r>
      <w:r>
        <w:rPr>
          <w:rFonts w:hint="eastAsia" w:ascii="Times New Roman" w:hAnsi="Times New Roman" w:eastAsia="仿宋_GB2312" w:cs="仿宋_GB2312"/>
          <w:spacing w:val="-27"/>
          <w:sz w:val="32"/>
          <w:szCs w:val="32"/>
          <w:lang w:val="en-US" w:eastAsia="zh-CN"/>
        </w:rPr>
        <w:t>秀全</w:t>
      </w:r>
      <w:r>
        <w:rPr>
          <w:rFonts w:hint="eastAsia" w:ascii="Times New Roman" w:hAnsi="Times New Roman" w:eastAsia="仿宋_GB2312" w:cs="仿宋_GB2312"/>
          <w:spacing w:val="6"/>
          <w:sz w:val="32"/>
          <w:szCs w:val="32"/>
          <w:lang w:val="en-US" w:eastAsia="zh-CN"/>
        </w:rPr>
        <w:t>街马溪经济联合社、马溪村南岳经济合作社</w:t>
      </w:r>
      <w:r>
        <w:rPr>
          <w:rFonts w:hint="eastAsia" w:ascii="Times New Roman" w:hAnsi="Times New Roman" w:eastAsia="仿宋_GB2312" w:cs="仿宋_GB2312"/>
          <w:spacing w:val="6"/>
          <w:sz w:val="32"/>
          <w:szCs w:val="32"/>
        </w:rPr>
        <w:t>属</w:t>
      </w:r>
      <w:r>
        <w:rPr>
          <w:rFonts w:hint="eastAsia" w:ascii="Times New Roman" w:hAnsi="Times New Roman" w:eastAsia="仿宋_GB2312" w:cs="仿宋_GB2312"/>
          <w:sz w:val="32"/>
          <w:szCs w:val="32"/>
        </w:rPr>
        <w:t>下的集体土地</w:t>
      </w:r>
      <w:r>
        <w:rPr>
          <w:rFonts w:hint="eastAsia" w:ascii="Times New Roman" w:hAnsi="Times New Roman" w:eastAsia="仿宋_GB2312" w:cs="Times New Roman"/>
          <w:sz w:val="32"/>
          <w:szCs w:val="32"/>
          <w:lang w:val="en-US" w:eastAsia="zh-CN"/>
        </w:rPr>
        <w:t>5.3245</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，面积合计</w:t>
      </w:r>
      <w:r>
        <w:rPr>
          <w:rFonts w:hint="eastAsia" w:ascii="Times New Roman" w:hAnsi="Times New Roman" w:eastAsia="仿宋_GB2312" w:cs="Times New Roman"/>
          <w:sz w:val="32"/>
          <w:szCs w:val="32"/>
          <w:lang w:val="en-US" w:eastAsia="zh-CN"/>
        </w:rPr>
        <w:t>5.3245公顷。</w:t>
      </w:r>
      <w:r>
        <w:rPr>
          <w:rFonts w:hint="eastAsia" w:ascii="Times New Roman" w:hAnsi="Times New Roman" w:eastAsia="仿宋_GB2312" w:cs="仿宋_GB2312"/>
          <w:sz w:val="32"/>
          <w:szCs w:val="32"/>
        </w:rPr>
        <w:t>根据《中华人民共和国土地管理法》第二条、第四十五条、第四十七条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《中华人民共和国土地管理法实施条例》第二十七条、第二十八条，以及《广东省</w:t>
      </w:r>
      <w:r>
        <w:rPr>
          <w:rFonts w:hint="eastAsia" w:ascii="Times New Roman" w:hAnsi="Times New Roman" w:eastAsia="仿宋_GB2312" w:cs="仿宋_GB2312"/>
          <w:spacing w:val="6"/>
          <w:sz w:val="32"/>
          <w:szCs w:val="32"/>
        </w:rPr>
        <w:t>土地管理条例》第三十条等规定，结合</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5"/>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黑体" w:hAnsi="黑体" w:eastAsia="黑体" w:cs="黑体"/>
          <w:sz w:val="32"/>
          <w:szCs w:val="32"/>
        </w:rPr>
        <w:t>一、征收范围</w:t>
      </w:r>
    </w:p>
    <w:p w14:paraId="3E543409">
      <w:pPr>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z w:val="32"/>
          <w:szCs w:val="32"/>
          <w:lang w:val="en-US" w:eastAsia="zh-CN"/>
        </w:rPr>
        <w:t>秀全街马溪经济联合社、马溪村南岳经济合作社</w:t>
      </w:r>
      <w:r>
        <w:rPr>
          <w:rFonts w:hint="default" w:ascii="Times New Roman" w:hAnsi="Times New Roman" w:eastAsia="仿宋_GB2312" w:cs="Times New Roman"/>
          <w:sz w:val="32"/>
          <w:szCs w:val="32"/>
        </w:rPr>
        <w:t>范围内。</w:t>
      </w:r>
      <w:r>
        <w:rPr>
          <w:rFonts w:hint="eastAsia" w:ascii="Times New Roman" w:hAnsi="Times New Roman" w:eastAsia="仿宋_GB2312" w:cs="仿宋_GB231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了公共利益的需要，在国土空间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sz w:val="32"/>
          <w:szCs w:val="32"/>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ascii="Times New Roman" w:hAnsi="Times New Roman" w:eastAsia="仿宋_GB2312" w:cs="Times New Roman"/>
          <w:sz w:val="32"/>
          <w:szCs w:val="32"/>
          <w:lang w:val="en-US" w:eastAsia="zh-CN"/>
        </w:rPr>
        <w:t>秀全街马溪经济联合社、马溪村南岳经济合作社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5.3245</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79.8675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4.8792</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73.1880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4.8792公顷</w:t>
      </w:r>
      <w:r>
        <w:rPr>
          <w:rFonts w:hint="default" w:ascii="Times New Roman" w:hAnsi="Times New Roman" w:eastAsia="仿宋_GB2312" w:cs="Times New Roman"/>
          <w:sz w:val="32"/>
          <w:szCs w:val="32"/>
        </w:rPr>
        <w:t>；建设用地</w:t>
      </w:r>
      <w:r>
        <w:rPr>
          <w:rFonts w:hint="default" w:ascii="Times New Roman" w:hAnsi="Times New Roman" w:eastAsia="仿宋_GB2312" w:cs="Times New Roman"/>
          <w:sz w:val="32"/>
          <w:szCs w:val="32"/>
          <w:lang w:val="en-US" w:eastAsia="zh-CN"/>
        </w:rPr>
        <w:t>0.4453</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6.6795</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根据《中华人民共和国土地管理法》《广东省土地管理条例》等规定，并结合</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120万元/公顷，安置补助标准为120万元/公顷。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4E963662">
      <w:pPr>
        <w:pageBreakBefore w:val="0"/>
        <w:numPr>
          <w:ilvl w:val="0"/>
          <w:numId w:val="0"/>
        </w:numPr>
        <w:kinsoku/>
        <w:wordWrap/>
        <w:overflowPunct/>
        <w:topLinePunct w:val="0"/>
        <w:autoSpaceDE/>
        <w:autoSpaceDN/>
        <w:bidi w:val="0"/>
        <w:adjustRightInd/>
        <w:spacing w:after="0" w:line="560" w:lineRule="exact"/>
        <w:ind w:firstLine="640" w:firstLineChars="200"/>
        <w:jc w:val="both"/>
        <w:textAlignment w:val="auto"/>
        <w:rPr>
          <w:rFonts w:hint="default" w:ascii="Times New Roman" w:hAnsi="Times New Roman"/>
        </w:rPr>
      </w:pPr>
      <w:r>
        <w:rPr>
          <w:rFonts w:hint="eastAsia" w:ascii="Times New Roman" w:hAnsi="Times New Roman" w:eastAsia="仿宋_GB2312" w:cs="Times New Roman"/>
          <w:color w:val="auto"/>
          <w:sz w:val="32"/>
          <w:szCs w:val="32"/>
          <w:highlight w:val="none"/>
          <w:lang w:val="en-US" w:eastAsia="zh-CN"/>
        </w:rPr>
        <w:t>青苗补偿及其他地上附着物</w:t>
      </w:r>
      <w:r>
        <w:rPr>
          <w:rFonts w:hint="eastAsia"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号）的规定，按实际征收土地面积的</w:t>
      </w:r>
      <w:r>
        <w:rPr>
          <w:rFonts w:hint="eastAsia"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%，按照实地留地安排留用地。</w:t>
      </w:r>
    </w:p>
    <w:p w14:paraId="0AA78AD4">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kern w:val="2"/>
          <w:sz w:val="32"/>
          <w:szCs w:val="32"/>
          <w:lang w:val="en-US" w:eastAsia="zh-CN" w:bidi="ar"/>
        </w:rPr>
        <w:t>（三）社会保障。</w:t>
      </w:r>
      <w:r>
        <w:rPr>
          <w:rFonts w:hint="eastAsia" w:ascii="Times New Roman" w:hAnsi="Times New Roman" w:eastAsia="仿宋_GB2312" w:cs="仿宋_GB2312"/>
          <w:color w:val="auto"/>
          <w:sz w:val="32"/>
          <w:szCs w:val="32"/>
        </w:rPr>
        <w:t>该项目</w:t>
      </w:r>
      <w:r>
        <w:rPr>
          <w:rFonts w:hint="eastAsia" w:ascii="Times New Roman" w:hAnsi="Times New Roman" w:eastAsia="仿宋_GB2312" w:cs="仿宋_GB2312"/>
          <w:color w:val="auto"/>
          <w:sz w:val="32"/>
          <w:szCs w:val="32"/>
          <w:u w:val="none"/>
        </w:rPr>
        <w:t>征收</w:t>
      </w:r>
      <w:r>
        <w:rPr>
          <w:rFonts w:hint="eastAsia" w:ascii="Times New Roman" w:hAnsi="Times New Roman" w:eastAsia="仿宋_GB2312" w:cs="仿宋_GB2312"/>
          <w:color w:val="auto"/>
          <w:sz w:val="32"/>
          <w:szCs w:val="32"/>
          <w:u w:val="none"/>
          <w:lang w:val="en-US" w:eastAsia="zh-CN"/>
        </w:rPr>
        <w:t>秀全</w:t>
      </w:r>
      <w:r>
        <w:rPr>
          <w:rFonts w:hint="eastAsia" w:ascii="Times New Roman" w:hAnsi="Times New Roman" w:eastAsia="仿宋_GB2312" w:cs="仿宋_GB2312"/>
          <w:color w:val="auto"/>
          <w:sz w:val="32"/>
          <w:szCs w:val="32"/>
          <w:u w:val="none"/>
        </w:rPr>
        <w:t>街</w:t>
      </w:r>
      <w:r>
        <w:rPr>
          <w:rFonts w:hint="eastAsia" w:ascii="Times New Roman" w:hAnsi="Times New Roman" w:eastAsia="仿宋_GB2312" w:cs="仿宋_GB2312"/>
          <w:color w:val="auto"/>
          <w:sz w:val="32"/>
          <w:szCs w:val="32"/>
          <w:u w:val="none"/>
          <w:lang w:val="en-US" w:eastAsia="zh-CN"/>
        </w:rPr>
        <w:t>马溪</w:t>
      </w:r>
      <w:r>
        <w:rPr>
          <w:rFonts w:hint="eastAsia" w:ascii="Times New Roman" w:hAnsi="Times New Roman" w:eastAsia="仿宋_GB2312" w:cs="仿宋_GB2312"/>
          <w:color w:val="auto"/>
          <w:sz w:val="32"/>
          <w:szCs w:val="32"/>
          <w:u w:val="none"/>
        </w:rPr>
        <w:t>村土地面积共</w:t>
      </w:r>
      <w:r>
        <w:rPr>
          <w:rFonts w:hint="eastAsia" w:ascii="Times New Roman" w:hAnsi="Times New Roman" w:eastAsia="仿宋_GB2312" w:cs="仿宋_GB2312"/>
          <w:color w:val="auto"/>
          <w:sz w:val="32"/>
          <w:szCs w:val="32"/>
          <w:u w:val="none"/>
          <w:lang w:val="en-US" w:eastAsia="zh-CN"/>
        </w:rPr>
        <w:t>79.8675</w:t>
      </w:r>
      <w:r>
        <w:rPr>
          <w:rFonts w:hint="eastAsia" w:ascii="Times New Roman" w:hAnsi="Times New Roman" w:eastAsia="仿宋_GB2312" w:cs="仿宋_GB2312"/>
          <w:color w:val="auto"/>
          <w:sz w:val="32"/>
          <w:szCs w:val="32"/>
          <w:u w:val="none"/>
        </w:rPr>
        <w:t>亩，</w:t>
      </w:r>
      <w:r>
        <w:rPr>
          <w:rFonts w:hint="eastAsia" w:ascii="Times New Roman" w:hAnsi="Times New Roman" w:eastAsia="仿宋_GB2312" w:cs="仿宋_GB2312"/>
          <w:color w:val="auto"/>
          <w:sz w:val="32"/>
          <w:szCs w:val="32"/>
        </w:rPr>
        <w:t>征地双方</w:t>
      </w:r>
      <w:r>
        <w:rPr>
          <w:rFonts w:hint="eastAsia" w:ascii="Times New Roman" w:hAnsi="Times New Roman" w:eastAsia="仿宋_GB2312" w:cs="仿宋_GB2312"/>
          <w:color w:val="auto"/>
          <w:sz w:val="32"/>
          <w:szCs w:val="32"/>
          <w:lang w:val="en-US" w:eastAsia="zh-CN"/>
        </w:rPr>
        <w:t>已</w:t>
      </w:r>
      <w:r>
        <w:rPr>
          <w:rFonts w:hint="eastAsia" w:ascii="Times New Roman" w:hAnsi="Times New Roman" w:eastAsia="仿宋_GB2312" w:cs="仿宋_GB2312"/>
          <w:color w:val="auto"/>
          <w:sz w:val="32"/>
          <w:szCs w:val="32"/>
        </w:rPr>
        <w:t>于</w:t>
      </w:r>
      <w:r>
        <w:rPr>
          <w:rFonts w:hint="eastAsia" w:ascii="Times New Roman" w:hAnsi="Times New Roman" w:eastAsia="仿宋_GB2312" w:cs="仿宋_GB2312"/>
          <w:color w:val="auto"/>
          <w:sz w:val="32"/>
          <w:szCs w:val="32"/>
          <w:lang w:val="en-US" w:eastAsia="zh-CN"/>
        </w:rPr>
        <w:t>2004</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月完成征地补偿安置协议签订，</w:t>
      </w:r>
      <w:r>
        <w:rPr>
          <w:rFonts w:hint="eastAsia" w:ascii="Times New Roman" w:hAnsi="Times New Roman" w:eastAsia="仿宋_GB2312" w:cs="仿宋_GB2312"/>
          <w:color w:val="auto"/>
          <w:sz w:val="32"/>
          <w:szCs w:val="32"/>
          <w:lang w:val="en-US" w:eastAsia="zh-CN"/>
        </w:rPr>
        <w:t>根据</w:t>
      </w:r>
      <w:r>
        <w:rPr>
          <w:rFonts w:hint="eastAsia" w:ascii="Times New Roman" w:hAnsi="Times New Roman" w:eastAsia="仿宋_GB2312" w:cs="仿宋_GB2312"/>
          <w:color w:val="auto"/>
          <w:kern w:val="2"/>
          <w:sz w:val="32"/>
          <w:szCs w:val="32"/>
          <w:lang w:val="en-US" w:eastAsia="zh-CN" w:bidi="ar"/>
        </w:rPr>
        <w:t>《广东省人民政府办公厅转发省人力资源社会保障厅关于进一步完善我省被征地农民养老保障政策意见的</w:t>
      </w:r>
      <w:r>
        <w:rPr>
          <w:rFonts w:hint="eastAsia" w:ascii="Times New Roman" w:hAnsi="Times New Roman" w:eastAsia="仿宋_GB2312" w:cs="仿宋_GB2312"/>
          <w:b w:val="0"/>
          <w:bCs w:val="0"/>
          <w:color w:val="auto"/>
          <w:kern w:val="2"/>
          <w:sz w:val="32"/>
          <w:szCs w:val="32"/>
          <w:lang w:val="en-US" w:eastAsia="zh-CN" w:bidi="ar"/>
        </w:rPr>
        <w:t>通知》（粤府办〔2021〕22号）</w:t>
      </w:r>
      <w:r>
        <w:rPr>
          <w:rFonts w:hint="eastAsia" w:ascii="Times New Roman" w:hAnsi="Times New Roman" w:eastAsia="仿宋_GB2312" w:cs="仿宋_GB2312"/>
          <w:b w:val="0"/>
          <w:bCs w:val="0"/>
          <w:color w:val="auto"/>
          <w:kern w:val="0"/>
          <w:sz w:val="32"/>
          <w:szCs w:val="32"/>
          <w:shd w:val="clear" w:color="auto" w:fill="FFFFFF"/>
          <w:lang w:bidi="ar"/>
        </w:rPr>
        <w:t>第八点规定执行原征地社保政策</w:t>
      </w:r>
      <w:r>
        <w:rPr>
          <w:rFonts w:hint="eastAsia" w:ascii="Times New Roman" w:hAnsi="Times New Roman" w:eastAsia="仿宋_GB2312" w:cs="仿宋_GB2312"/>
          <w:b w:val="0"/>
          <w:bCs w:val="0"/>
          <w:color w:val="auto"/>
          <w:kern w:val="0"/>
          <w:sz w:val="32"/>
          <w:szCs w:val="32"/>
          <w:shd w:val="clear" w:color="auto" w:fill="FFFFFF"/>
          <w:lang w:eastAsia="zh-CN" w:bidi="ar"/>
        </w:rPr>
        <w:t>，</w:t>
      </w:r>
      <w:r>
        <w:rPr>
          <w:rFonts w:hint="eastAsia" w:ascii="Times New Roman" w:hAnsi="Times New Roman" w:eastAsia="仿宋_GB2312" w:cs="仿宋_GB2312"/>
          <w:b w:val="0"/>
          <w:bCs w:val="0"/>
          <w:color w:val="auto"/>
          <w:sz w:val="32"/>
          <w:szCs w:val="32"/>
          <w:lang w:val="en-US" w:eastAsia="zh-CN"/>
        </w:rPr>
        <w:t>核定该项目</w:t>
      </w:r>
      <w:r>
        <w:rPr>
          <w:rFonts w:hint="eastAsia" w:ascii="Times New Roman" w:hAnsi="Times New Roman" w:eastAsia="仿宋_GB2312" w:cs="仿宋_GB2312"/>
          <w:b w:val="0"/>
          <w:bCs w:val="0"/>
          <w:color w:val="auto"/>
          <w:kern w:val="0"/>
          <w:sz w:val="32"/>
          <w:szCs w:val="32"/>
        </w:rPr>
        <w:t>涉</w:t>
      </w:r>
      <w:r>
        <w:rPr>
          <w:rFonts w:hint="eastAsia" w:ascii="Times New Roman" w:hAnsi="Times New Roman" w:eastAsia="仿宋_GB2312" w:cs="仿宋_GB2312"/>
          <w:b w:val="0"/>
          <w:bCs w:val="0"/>
          <w:color w:val="auto"/>
          <w:sz w:val="32"/>
          <w:szCs w:val="32"/>
        </w:rPr>
        <w:t>及应纳入养老保障范围的被</w:t>
      </w:r>
      <w:r>
        <w:rPr>
          <w:rFonts w:hint="eastAsia" w:ascii="Times New Roman" w:hAnsi="Times New Roman" w:eastAsia="仿宋_GB2312" w:cs="仿宋_GB2312"/>
          <w:b w:val="0"/>
          <w:bCs w:val="0"/>
          <w:color w:val="auto"/>
          <w:kern w:val="0"/>
          <w:sz w:val="32"/>
          <w:szCs w:val="32"/>
        </w:rPr>
        <w:t>征地农民</w:t>
      </w:r>
      <w:r>
        <w:rPr>
          <w:rFonts w:hint="eastAsia" w:ascii="Times New Roman" w:hAnsi="Times New Roman" w:eastAsia="仿宋_GB2312" w:cs="仿宋_GB2312"/>
          <w:b w:val="0"/>
          <w:bCs w:val="0"/>
          <w:color w:val="auto"/>
          <w:kern w:val="0"/>
          <w:sz w:val="32"/>
          <w:szCs w:val="32"/>
          <w:lang w:val="en-US" w:eastAsia="zh-CN"/>
        </w:rPr>
        <w:t>27</w:t>
      </w:r>
      <w:r>
        <w:rPr>
          <w:rFonts w:hint="eastAsia" w:ascii="Times New Roman" w:hAnsi="Times New Roman" w:eastAsia="仿宋_GB2312" w:cs="仿宋_GB2312"/>
          <w:b w:val="0"/>
          <w:bCs w:val="0"/>
          <w:color w:val="auto"/>
          <w:sz w:val="32"/>
          <w:szCs w:val="32"/>
        </w:rPr>
        <w:t>人</w:t>
      </w:r>
      <w:r>
        <w:rPr>
          <w:rFonts w:hint="eastAsia" w:ascii="Times New Roman" w:hAnsi="Times New Roman" w:eastAsia="仿宋_GB2312" w:cs="仿宋_GB2312"/>
          <w:b w:val="0"/>
          <w:bCs w:val="0"/>
          <w:color w:val="auto"/>
          <w:spacing w:val="4"/>
          <w:sz w:val="32"/>
          <w:szCs w:val="32"/>
        </w:rPr>
        <w:t>，</w:t>
      </w:r>
      <w:r>
        <w:rPr>
          <w:rFonts w:hint="eastAsia" w:ascii="Times New Roman" w:hAnsi="Times New Roman" w:eastAsia="仿宋_GB2312" w:cs="仿宋_GB2312"/>
          <w:b w:val="0"/>
          <w:bCs w:val="0"/>
          <w:color w:val="auto"/>
          <w:spacing w:val="4"/>
          <w:sz w:val="32"/>
          <w:szCs w:val="32"/>
          <w:lang w:val="en-US" w:eastAsia="zh-CN"/>
        </w:rPr>
        <w:t>按</w:t>
      </w:r>
      <w:r>
        <w:rPr>
          <w:rFonts w:hint="eastAsia" w:ascii="Times New Roman" w:hAnsi="Times New Roman" w:eastAsia="仿宋_GB2312" w:cs="仿宋_GB2312"/>
          <w:color w:val="auto"/>
          <w:sz w:val="32"/>
          <w:szCs w:val="32"/>
        </w:rPr>
        <w:t>1.62万元/人</w:t>
      </w:r>
      <w:r>
        <w:rPr>
          <w:rFonts w:hint="eastAsia" w:ascii="Times New Roman" w:hAnsi="Times New Roman" w:eastAsia="仿宋_GB2312" w:cs="仿宋_GB2312"/>
          <w:color w:val="auto"/>
          <w:sz w:val="32"/>
          <w:szCs w:val="32"/>
          <w:lang w:val="en-US" w:eastAsia="zh-CN"/>
        </w:rPr>
        <w:t>标准</w:t>
      </w:r>
      <w:r>
        <w:rPr>
          <w:rFonts w:hint="eastAsia" w:ascii="Times New Roman" w:hAnsi="Times New Roman" w:eastAsia="仿宋_GB2312" w:cs="仿宋_GB2312"/>
          <w:color w:val="auto"/>
          <w:kern w:val="2"/>
          <w:sz w:val="32"/>
          <w:szCs w:val="32"/>
          <w:lang w:val="en-US" w:eastAsia="zh-CN" w:bidi="ar"/>
        </w:rPr>
        <w:t>一次性</w:t>
      </w:r>
      <w:r>
        <w:rPr>
          <w:rFonts w:hint="eastAsia" w:ascii="Times New Roman" w:hAnsi="Times New Roman" w:eastAsia="仿宋_GB2312" w:cs="仿宋_GB2312"/>
          <w:b w:val="0"/>
          <w:bCs w:val="0"/>
          <w:color w:val="auto"/>
          <w:spacing w:val="4"/>
          <w:sz w:val="32"/>
          <w:szCs w:val="32"/>
        </w:rPr>
        <w:t>计提征地社保费</w:t>
      </w:r>
      <w:r>
        <w:rPr>
          <w:rFonts w:hint="eastAsia" w:ascii="Times New Roman" w:hAnsi="Times New Roman" w:eastAsia="仿宋_GB2312" w:cs="仿宋_GB2312"/>
          <w:b w:val="0"/>
          <w:bCs w:val="0"/>
          <w:color w:val="auto"/>
          <w:spacing w:val="4"/>
          <w:sz w:val="32"/>
          <w:szCs w:val="32"/>
          <w:lang w:val="en-US" w:eastAsia="zh-CN"/>
        </w:rPr>
        <w:t>共43.74</w:t>
      </w:r>
      <w:r>
        <w:rPr>
          <w:rFonts w:hint="eastAsia" w:ascii="Times New Roman" w:hAnsi="Times New Roman" w:eastAsia="仿宋_GB2312" w:cs="仿宋_GB2312"/>
          <w:b w:val="0"/>
          <w:bCs w:val="0"/>
          <w:color w:val="auto"/>
          <w:sz w:val="32"/>
          <w:szCs w:val="32"/>
        </w:rPr>
        <w:t>万元</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color w:val="auto"/>
          <w:kern w:val="2"/>
          <w:sz w:val="32"/>
          <w:szCs w:val="32"/>
          <w:lang w:val="en-US" w:eastAsia="zh-CN" w:bidi="ar"/>
        </w:rPr>
        <w:t>预存入区“收缴被征地农民养老保障资金过渡户”，专款用于被征地农民养老保障。</w:t>
      </w:r>
    </w:p>
    <w:p w14:paraId="0E5524F0">
      <w:pPr>
        <w:pStyle w:val="6"/>
        <w:widowControl w:val="0"/>
        <w:numPr>
          <w:ilvl w:val="0"/>
          <w:numId w:val="0"/>
        </w:numPr>
        <w:spacing w:before="10" w:after="0" w:line="560" w:lineRule="exact"/>
        <w:ind w:right="111" w:rightChars="0"/>
        <w:jc w:val="both"/>
        <w:rPr>
          <w:rFonts w:hint="eastAsia" w:ascii="Times New Roman" w:hAnsi="Times New Roman" w:eastAsia="仿宋_GB2312" w:cs="仿宋_GB2312"/>
          <w:sz w:val="32"/>
          <w:szCs w:val="32"/>
        </w:rPr>
      </w:pPr>
    </w:p>
    <w:p w14:paraId="6C80C101">
      <w:pPr>
        <w:pStyle w:val="6"/>
        <w:spacing w:before="0" w:line="560" w:lineRule="exact"/>
        <w:ind w:left="0" w:right="260"/>
        <w:jc w:val="right"/>
        <w:rPr>
          <w:rFonts w:hint="eastAsia" w:ascii="Times New Roman" w:hAnsi="Times New Roman" w:eastAsia="仿宋_GB2312" w:cs="仿宋_GB2312"/>
          <w:sz w:val="32"/>
          <w:szCs w:val="32"/>
        </w:rPr>
      </w:pPr>
    </w:p>
    <w:p w14:paraId="04F09EC6">
      <w:pPr>
        <w:pStyle w:val="6"/>
        <w:spacing w:before="0" w:line="560" w:lineRule="exact"/>
        <w:ind w:left="0" w:right="260"/>
        <w:jc w:val="right"/>
        <w:rPr>
          <w:rFonts w:hint="eastAsia" w:ascii="Times New Roman" w:hAnsi="Times New Roman" w:eastAsia="仿宋_GB2312" w:cs="仿宋_GB2312"/>
          <w:sz w:val="32"/>
          <w:szCs w:val="32"/>
        </w:rPr>
      </w:pPr>
    </w:p>
    <w:p w14:paraId="2E72DDC4">
      <w:pPr>
        <w:pStyle w:val="6"/>
        <w:spacing w:before="0" w:line="560" w:lineRule="exact"/>
        <w:ind w:left="0" w:right="260"/>
        <w:jc w:val="righ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广州市</w:t>
      </w:r>
      <w:r>
        <w:rPr>
          <w:rFonts w:hint="eastAsia" w:ascii="Times New Roman" w:hAnsi="Times New Roman" w:eastAsia="仿宋_GB2312" w:cs="仿宋_GB2312"/>
          <w:sz w:val="32"/>
          <w:szCs w:val="32"/>
          <w:lang w:eastAsia="zh-CN"/>
        </w:rPr>
        <w:t>规划和自然资源局花都区分局</w:t>
      </w:r>
    </w:p>
    <w:p w14:paraId="76397E1A">
      <w:pPr>
        <w:pStyle w:val="6"/>
        <w:spacing w:line="560" w:lineRule="exact"/>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21</w:t>
      </w:r>
      <w:bookmarkStart w:id="0" w:name="_GoBack"/>
      <w:bookmarkEnd w:id="0"/>
      <w:r>
        <w:rPr>
          <w:rFonts w:hint="default" w:ascii="Times New Roman" w:hAnsi="Times New Roman" w:eastAsia="仿宋_GB2312" w:cs="Times New Roman"/>
          <w:sz w:val="32"/>
          <w:szCs w:val="32"/>
        </w:rPr>
        <w:t>日</w:t>
      </w:r>
    </w:p>
    <w:sectPr>
      <w:footerReference r:id="rId5" w:type="default"/>
      <w:pgSz w:w="11910" w:h="16840"/>
      <w:pgMar w:top="2098" w:right="1474" w:bottom="198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DExMzI0YThmYTc1MzRiMjMwMmU5NTRiYTM0ZGIzYzkifQ=="/>
  </w:docVars>
  <w:rsids>
    <w:rsidRoot w:val="00000000"/>
    <w:rsid w:val="022A33E1"/>
    <w:rsid w:val="04654DC4"/>
    <w:rsid w:val="0822151D"/>
    <w:rsid w:val="08682950"/>
    <w:rsid w:val="08D87341"/>
    <w:rsid w:val="09D83D09"/>
    <w:rsid w:val="0BC12118"/>
    <w:rsid w:val="0C890300"/>
    <w:rsid w:val="0D5A4B28"/>
    <w:rsid w:val="0D630F89"/>
    <w:rsid w:val="161B7A15"/>
    <w:rsid w:val="162B00EE"/>
    <w:rsid w:val="16E50DE0"/>
    <w:rsid w:val="19977D8A"/>
    <w:rsid w:val="1C44266B"/>
    <w:rsid w:val="21130A65"/>
    <w:rsid w:val="219E39B8"/>
    <w:rsid w:val="25477C36"/>
    <w:rsid w:val="29C73F17"/>
    <w:rsid w:val="2BE439BC"/>
    <w:rsid w:val="2F2F33BB"/>
    <w:rsid w:val="33085EB0"/>
    <w:rsid w:val="34394804"/>
    <w:rsid w:val="34B51501"/>
    <w:rsid w:val="34C31F08"/>
    <w:rsid w:val="34CC172C"/>
    <w:rsid w:val="3574351A"/>
    <w:rsid w:val="383F0D71"/>
    <w:rsid w:val="39A42B0C"/>
    <w:rsid w:val="3B8E0546"/>
    <w:rsid w:val="3D4536F5"/>
    <w:rsid w:val="3E96583D"/>
    <w:rsid w:val="403D5FF9"/>
    <w:rsid w:val="46753A21"/>
    <w:rsid w:val="468535F8"/>
    <w:rsid w:val="47EA5951"/>
    <w:rsid w:val="48A80401"/>
    <w:rsid w:val="4C973E49"/>
    <w:rsid w:val="4FDC68BF"/>
    <w:rsid w:val="505F6CEB"/>
    <w:rsid w:val="54382FF3"/>
    <w:rsid w:val="54E02594"/>
    <w:rsid w:val="567C363A"/>
    <w:rsid w:val="5EF369C2"/>
    <w:rsid w:val="5F7D66C9"/>
    <w:rsid w:val="5FD129C7"/>
    <w:rsid w:val="60ED7905"/>
    <w:rsid w:val="63714235"/>
    <w:rsid w:val="6488303F"/>
    <w:rsid w:val="64ED2421"/>
    <w:rsid w:val="671A7149"/>
    <w:rsid w:val="6DB30687"/>
    <w:rsid w:val="6DB875FB"/>
    <w:rsid w:val="6F8C3791"/>
    <w:rsid w:val="708E5910"/>
    <w:rsid w:val="747B57C1"/>
    <w:rsid w:val="75B44CF4"/>
    <w:rsid w:val="768B3F84"/>
    <w:rsid w:val="76910A96"/>
    <w:rsid w:val="7772528F"/>
    <w:rsid w:val="78EA6370"/>
    <w:rsid w:val="7B4F5BC3"/>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1336</Words>
  <Characters>1432</Characters>
  <TotalTime>120</TotalTime>
  <ScaleCrop>false</ScaleCrop>
  <LinksUpToDate>false</LinksUpToDate>
  <CharactersWithSpaces>1484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2222222</cp:lastModifiedBy>
  <cp:lastPrinted>2025-03-21T09:26:06Z</cp:lastPrinted>
  <dcterms:modified xsi:type="dcterms:W3CDTF">2025-03-21T09:33:50Z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2052-12.1.0.20305</vt:lpwstr>
  </property>
  <property fmtid="{D5CDD505-2E9C-101B-9397-08002B2CF9AE}" pid="6" name="ICV">
    <vt:lpwstr>4DFBAE58533245A6A3E6FCA55C54D6E1</vt:lpwstr>
  </property>
  <property fmtid="{D5CDD505-2E9C-101B-9397-08002B2CF9AE}" pid="7" name="KSOTemplateDocerSaveRecord">
    <vt:lpwstr>eyJoZGlkIjoiMjljYjVmMzdmNGY2YWEzYThmZDU2NzliNzZlZWU2NWMiLCJ1c2VySWQiOiI3MTQxMDM0MTEifQ==</vt:lpwstr>
  </property>
</Properties>
</file>