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A78BCB">
      <w:pPr>
        <w:spacing w:before="0" w:line="534" w:lineRule="exact"/>
        <w:ind w:left="965" w:right="0" w:hanging="88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关于广州市花都区2025年度第九十批次城镇</w:t>
      </w:r>
    </w:p>
    <w:p w14:paraId="69B5DC98">
      <w:pPr>
        <w:spacing w:before="0" w:line="534" w:lineRule="exact"/>
        <w:ind w:left="965" w:right="0" w:hanging="88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建设用地（广佛环线佛山西站至广州北站段</w:t>
      </w:r>
    </w:p>
    <w:p w14:paraId="653C134B">
      <w:pPr>
        <w:spacing w:before="0" w:line="534" w:lineRule="exact"/>
        <w:ind w:left="965" w:right="0" w:hanging="880"/>
        <w:jc w:val="center"/>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项目输电线路迁改工程“终端场项目”）</w:t>
      </w:r>
    </w:p>
    <w:p w14:paraId="2C8EA882">
      <w:pPr>
        <w:spacing w:before="0" w:line="534" w:lineRule="exact"/>
        <w:ind w:left="965" w:right="0" w:hanging="880"/>
        <w:jc w:val="center"/>
        <w:rPr>
          <w:rFonts w:hint="eastAsia" w:ascii="Times New Roman" w:hAnsi="Times New Roman" w:eastAsia="方正小标宋简体" w:cs="方正小标宋简体"/>
          <w:sz w:val="44"/>
          <w:szCs w:val="44"/>
          <w:lang w:eastAsia="zh-CN"/>
        </w:rPr>
      </w:pPr>
      <w:r>
        <w:rPr>
          <w:rFonts w:hint="eastAsia" w:ascii="Times New Roman" w:hAnsi="Times New Roman" w:eastAsia="方正小标宋简体" w:cs="方正小标宋简体"/>
          <w:sz w:val="44"/>
          <w:szCs w:val="44"/>
          <w:lang w:val="en-US" w:eastAsia="zh-CN"/>
        </w:rPr>
        <w:t>的</w:t>
      </w:r>
      <w:r>
        <w:rPr>
          <w:rFonts w:hint="eastAsia" w:ascii="Times New Roman" w:hAnsi="Times New Roman" w:eastAsia="方正小标宋简体" w:cs="方正小标宋简体"/>
          <w:sz w:val="44"/>
          <w:szCs w:val="44"/>
          <w:lang w:eastAsia="zh-CN"/>
        </w:rPr>
        <w:t>征地补偿安置方案</w:t>
      </w:r>
    </w:p>
    <w:p w14:paraId="470FBD40">
      <w:pPr>
        <w:spacing w:before="7" w:line="240" w:lineRule="auto"/>
        <w:rPr>
          <w:rFonts w:ascii="Times New Roman" w:hAnsi="Times New Roman" w:eastAsia="Adobe 黑体 Std R" w:cs="Adobe 黑体 Std R"/>
          <w:sz w:val="34"/>
          <w:szCs w:val="34"/>
        </w:rPr>
      </w:pPr>
    </w:p>
    <w:p w14:paraId="29BC23BE">
      <w:pPr>
        <w:pStyle w:val="6"/>
        <w:keepNext w:val="0"/>
        <w:keepLines w:val="0"/>
        <w:pageBreakBefore w:val="0"/>
        <w:widowControl w:val="0"/>
        <w:kinsoku/>
        <w:wordWrap w:val="0"/>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为实施广州市</w:t>
      </w:r>
      <w:r>
        <w:rPr>
          <w:rFonts w:hint="eastAsia" w:ascii="Times New Roman" w:hAnsi="Times New Roman" w:eastAsia="仿宋_GB2312" w:cs="仿宋_GB2312"/>
          <w:spacing w:val="0"/>
          <w:sz w:val="32"/>
          <w:szCs w:val="32"/>
          <w:lang w:eastAsia="zh-CN"/>
        </w:rPr>
        <w:t>花都</w:t>
      </w:r>
      <w:r>
        <w:rPr>
          <w:rFonts w:hint="eastAsia" w:ascii="Times New Roman" w:hAnsi="Times New Roman" w:eastAsia="仿宋_GB2312" w:cs="仿宋_GB2312"/>
          <w:sz w:val="32"/>
          <w:szCs w:val="32"/>
        </w:rPr>
        <w:t>区</w:t>
      </w:r>
      <w:r>
        <w:rPr>
          <w:rFonts w:hint="eastAsia" w:ascii="Times New Roman" w:hAnsi="Times New Roman" w:eastAsia="仿宋_GB2312" w:cs="仿宋_GB2312"/>
          <w:spacing w:val="0"/>
          <w:sz w:val="32"/>
          <w:szCs w:val="32"/>
          <w:lang w:val="en-US" w:eastAsia="zh-CN"/>
        </w:rPr>
        <w:t>炭步</w:t>
      </w:r>
      <w:r>
        <w:rPr>
          <w:rFonts w:hint="eastAsia" w:ascii="Times New Roman" w:hAnsi="Times New Roman" w:eastAsia="仿宋_GB2312" w:cs="仿宋_GB2312"/>
          <w:sz w:val="32"/>
          <w:szCs w:val="32"/>
        </w:rPr>
        <w:t>镇建设规划，完善城市功</w:t>
      </w:r>
      <w:r>
        <w:rPr>
          <w:rFonts w:hint="eastAsia" w:ascii="Times New Roman" w:hAnsi="Times New Roman" w:eastAsia="仿宋_GB2312" w:cs="仿宋_GB2312"/>
          <w:spacing w:val="0"/>
          <w:sz w:val="32"/>
          <w:szCs w:val="32"/>
        </w:rPr>
        <w:t>能</w:t>
      </w:r>
      <w:r>
        <w:rPr>
          <w:rFonts w:hint="eastAsia" w:ascii="Times New Roman" w:hAnsi="Times New Roman" w:eastAsia="仿宋_GB2312" w:cs="仿宋_GB2312"/>
          <w:spacing w:val="0"/>
          <w:sz w:val="32"/>
          <w:szCs w:val="32"/>
          <w:lang w:eastAsia="zh-CN"/>
        </w:rPr>
        <w:t>，</w:t>
      </w:r>
      <w:r>
        <w:rPr>
          <w:rFonts w:hint="eastAsia" w:ascii="Times New Roman" w:hAnsi="Times New Roman" w:eastAsia="仿宋_GB2312" w:cs="仿宋_GB2312"/>
          <w:spacing w:val="0"/>
          <w:sz w:val="32"/>
          <w:szCs w:val="32"/>
        </w:rPr>
        <w:t>改善城市环境，促进经济、文化发展，广州市</w:t>
      </w:r>
      <w:r>
        <w:rPr>
          <w:rFonts w:hint="eastAsia" w:ascii="Times New Roman" w:hAnsi="Times New Roman" w:eastAsia="仿宋_GB2312" w:cs="仿宋_GB2312"/>
          <w:spacing w:val="0"/>
          <w:sz w:val="32"/>
          <w:szCs w:val="32"/>
          <w:lang w:eastAsia="zh-CN"/>
        </w:rPr>
        <w:t>花都</w:t>
      </w:r>
      <w:r>
        <w:rPr>
          <w:rFonts w:hint="eastAsia" w:ascii="Times New Roman" w:hAnsi="Times New Roman" w:eastAsia="仿宋_GB2312" w:cs="仿宋_GB2312"/>
          <w:spacing w:val="0"/>
          <w:sz w:val="32"/>
          <w:szCs w:val="32"/>
        </w:rPr>
        <w:t>区人民政府拟征收</w:t>
      </w:r>
      <w:r>
        <w:rPr>
          <w:rFonts w:hint="eastAsia" w:ascii="Times New Roman" w:hAnsi="Times New Roman" w:eastAsia="仿宋_GB2312" w:cs="仿宋_GB2312"/>
          <w:spacing w:val="0"/>
          <w:sz w:val="32"/>
          <w:szCs w:val="32"/>
          <w:lang w:eastAsia="zh-CN"/>
        </w:rPr>
        <w:t>该区</w:t>
      </w:r>
      <w:r>
        <w:rPr>
          <w:rFonts w:hint="eastAsia" w:ascii="Times New Roman" w:hAnsi="Times New Roman" w:eastAsia="仿宋_GB2312" w:cs="仿宋_GB2312"/>
          <w:spacing w:val="0"/>
          <w:sz w:val="32"/>
          <w:szCs w:val="32"/>
          <w:lang w:val="en-US" w:eastAsia="zh-CN"/>
        </w:rPr>
        <w:t>炭步镇石湖中社经济合作</w:t>
      </w:r>
      <w:r>
        <w:rPr>
          <w:rFonts w:hint="eastAsia" w:ascii="Times New Roman" w:hAnsi="Times New Roman" w:eastAsia="仿宋_GB2312" w:cs="仿宋_GB2312"/>
          <w:spacing w:val="0"/>
          <w:sz w:val="32"/>
          <w:szCs w:val="32"/>
          <w:lang w:eastAsia="zh-CN"/>
        </w:rPr>
        <w:t>社</w:t>
      </w:r>
      <w:r>
        <w:rPr>
          <w:rFonts w:hint="eastAsia" w:ascii="Times New Roman" w:hAnsi="Times New Roman" w:eastAsia="仿宋_GB2312" w:cs="仿宋_GB2312"/>
          <w:spacing w:val="0"/>
          <w:sz w:val="32"/>
          <w:szCs w:val="32"/>
        </w:rPr>
        <w:t>属</w:t>
      </w:r>
      <w:r>
        <w:rPr>
          <w:rFonts w:hint="eastAsia" w:ascii="Times New Roman" w:hAnsi="Times New Roman" w:eastAsia="仿宋_GB2312" w:cs="仿宋_GB2312"/>
          <w:sz w:val="32"/>
          <w:szCs w:val="32"/>
        </w:rPr>
        <w:t>下的集体土地</w:t>
      </w:r>
      <w:r>
        <w:rPr>
          <w:rFonts w:hint="eastAsia" w:ascii="Times New Roman" w:hAnsi="Times New Roman" w:eastAsia="仿宋_GB2312" w:cs="仿宋_GB2312"/>
          <w:sz w:val="32"/>
          <w:szCs w:val="32"/>
          <w:lang w:val="en-US" w:eastAsia="zh-CN"/>
        </w:rPr>
        <w:t>0.0860</w:t>
      </w:r>
      <w:r>
        <w:rPr>
          <w:rFonts w:hint="eastAsia" w:ascii="Times New Roman" w:hAnsi="Times New Roman" w:eastAsia="仿宋_GB2312" w:cs="仿宋_GB2312"/>
          <w:sz w:val="32"/>
          <w:szCs w:val="32"/>
        </w:rPr>
        <w:t>公顷</w:t>
      </w:r>
      <w:r>
        <w:rPr>
          <w:rFonts w:hint="eastAsia" w:ascii="Times New Roman" w:hAnsi="Times New Roman" w:eastAsia="仿宋_GB2312" w:cs="仿宋_GB2312"/>
          <w:sz w:val="32"/>
          <w:szCs w:val="32"/>
          <w:lang w:eastAsia="zh-CN"/>
        </w:rPr>
        <w:t>，面积合计</w:t>
      </w:r>
      <w:r>
        <w:rPr>
          <w:rFonts w:hint="eastAsia" w:ascii="Times New Roman" w:hAnsi="Times New Roman" w:eastAsia="仿宋_GB2312" w:cs="仿宋_GB2312"/>
          <w:sz w:val="32"/>
          <w:szCs w:val="32"/>
          <w:lang w:val="en-US" w:eastAsia="zh-CN"/>
        </w:rPr>
        <w:t>0.0860公顷。</w:t>
      </w:r>
      <w:r>
        <w:rPr>
          <w:rFonts w:hint="eastAsia" w:ascii="Times New Roman" w:hAnsi="Times New Roman" w:eastAsia="仿宋_GB2312" w:cs="仿宋_GB2312"/>
          <w:sz w:val="32"/>
          <w:szCs w:val="32"/>
        </w:rPr>
        <w:t>根据《中华人民共和国土地管理法》第二条、第四十五条、第四十七条</w:t>
      </w:r>
      <w:r>
        <w:rPr>
          <w:rFonts w:hint="eastAsia" w:ascii="Times New Roman" w:hAnsi="Times New Roman" w:eastAsia="仿宋_GB2312" w:cs="仿宋_GB2312"/>
          <w:sz w:val="32"/>
          <w:szCs w:val="32"/>
          <w:lang w:eastAsia="zh-CN"/>
        </w:rPr>
        <w:t>，</w:t>
      </w:r>
      <w:r>
        <w:rPr>
          <w:rFonts w:hint="eastAsia" w:ascii="Times New Roman" w:hAnsi="Times New Roman" w:eastAsia="仿宋_GB2312" w:cs="仿宋_GB2312"/>
          <w:sz w:val="32"/>
          <w:szCs w:val="32"/>
        </w:rPr>
        <w:t>《中华人民共和国土地管理法实施条例》第二十七条、第二十八条，以及《广东省</w:t>
      </w:r>
      <w:r>
        <w:rPr>
          <w:rFonts w:hint="eastAsia" w:ascii="Times New Roman" w:hAnsi="Times New Roman" w:eastAsia="仿宋_GB2312" w:cs="仿宋_GB2312"/>
          <w:spacing w:val="0"/>
          <w:sz w:val="32"/>
          <w:szCs w:val="32"/>
        </w:rPr>
        <w:t>土地管理条例》第三十条等规定，结合</w:t>
      </w:r>
      <w:r>
        <w:rPr>
          <w:rFonts w:hint="eastAsia" w:ascii="Times New Roman" w:hAnsi="Times New Roman" w:eastAsia="仿宋_GB2312" w:cs="仿宋_GB2312"/>
          <w:spacing w:val="0"/>
          <w:sz w:val="32"/>
          <w:szCs w:val="32"/>
          <w:lang w:eastAsia="zh-CN"/>
        </w:rPr>
        <w:t>花都</w:t>
      </w:r>
      <w:r>
        <w:rPr>
          <w:rFonts w:hint="eastAsia" w:ascii="Times New Roman" w:hAnsi="Times New Roman" w:eastAsia="仿宋_GB2312" w:cs="仿宋_GB2312"/>
          <w:spacing w:val="0"/>
          <w:sz w:val="32"/>
          <w:szCs w:val="32"/>
        </w:rPr>
        <w:t>区的征收农用地</w:t>
      </w:r>
      <w:r>
        <w:rPr>
          <w:rFonts w:hint="eastAsia" w:ascii="Times New Roman" w:hAnsi="Times New Roman" w:eastAsia="仿宋_GB2312" w:cs="仿宋_GB2312"/>
          <w:sz w:val="32"/>
          <w:szCs w:val="32"/>
        </w:rPr>
        <w:t>区片综合地价和实际情况，拟定了征地补偿安置方案，具体如下：</w:t>
      </w:r>
    </w:p>
    <w:p w14:paraId="75000BE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一、征收范围</w:t>
      </w:r>
    </w:p>
    <w:p w14:paraId="76CD3C8D">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拟征收土地位于广州市花都区</w:t>
      </w:r>
      <w:r>
        <w:rPr>
          <w:rFonts w:hint="eastAsia" w:ascii="Times New Roman" w:hAnsi="Times New Roman" w:eastAsia="仿宋_GB2312" w:cs="Times New Roman"/>
          <w:sz w:val="32"/>
          <w:szCs w:val="32"/>
          <w:lang w:val="en-US" w:eastAsia="zh-CN"/>
        </w:rPr>
        <w:t>炭步镇石湖中社经济合作社</w:t>
      </w:r>
      <w:r>
        <w:rPr>
          <w:rFonts w:hint="default" w:ascii="Times New Roman" w:hAnsi="Times New Roman" w:eastAsia="仿宋_GB2312" w:cs="Times New Roman"/>
          <w:sz w:val="32"/>
          <w:szCs w:val="32"/>
        </w:rPr>
        <w:t>范围内，具体位置详见附图。</w:t>
      </w:r>
    </w:p>
    <w:p w14:paraId="080B46B0">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实际征收土地范围以最终批准文件为准。</w:t>
      </w:r>
    </w:p>
    <w:p w14:paraId="362BF9B5">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二、征收目的</w:t>
      </w:r>
    </w:p>
    <w:p w14:paraId="47666D6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根据《中华人民共和国土地管理法》第四十五条的规定，本次征收土地目的为</w:t>
      </w:r>
      <w:r>
        <w:rPr>
          <w:rFonts w:hint="default" w:ascii="Times New Roman" w:hAnsi="Times New Roman" w:eastAsia="仿宋_GB2312" w:cs="Times New Roman"/>
          <w:strike w:val="0"/>
          <w:dstrike w:val="0"/>
          <w:sz w:val="32"/>
          <w:szCs w:val="32"/>
        </w:rPr>
        <w:t>由政府组织实施的能源、交通、水利、通信、邮政等基础设施建设需要用地的</w:t>
      </w:r>
      <w:r>
        <w:rPr>
          <w:rFonts w:hint="default" w:ascii="Times New Roman" w:hAnsi="Times New Roman" w:eastAsia="仿宋_GB2312" w:cs="Times New Roman"/>
          <w:color w:val="auto"/>
          <w:sz w:val="32"/>
          <w:szCs w:val="32"/>
          <w:highlight w:val="none"/>
          <w:lang w:eastAsia="zh-CN"/>
        </w:rPr>
        <w:t>。</w:t>
      </w:r>
    </w:p>
    <w:p w14:paraId="5F3FC73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三、土地现状</w:t>
      </w:r>
    </w:p>
    <w:p w14:paraId="66B4C7E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根据拟征收土地现状调查结果，拟征收土地现状为</w:t>
      </w:r>
      <w:r>
        <w:rPr>
          <w:rFonts w:hint="default" w:ascii="Times New Roman" w:hAnsi="Times New Roman" w:eastAsia="仿宋_GB2312" w:cs="Times New Roman"/>
          <w:sz w:val="32"/>
          <w:szCs w:val="32"/>
          <w:lang w:eastAsia="zh-CN"/>
        </w:rPr>
        <w:t>：</w:t>
      </w:r>
    </w:p>
    <w:p w14:paraId="747AB25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拟征收</w:t>
      </w:r>
      <w:r>
        <w:rPr>
          <w:rFonts w:hint="default" w:ascii="Times New Roman" w:hAnsi="Times New Roman" w:eastAsia="仿宋_GB2312" w:cs="Times New Roman"/>
          <w:sz w:val="32"/>
          <w:szCs w:val="32"/>
          <w:highlight w:val="none"/>
        </w:rPr>
        <w:t>广州市花都区</w:t>
      </w:r>
      <w:r>
        <w:rPr>
          <w:rFonts w:hint="default" w:ascii="Times New Roman" w:hAnsi="Times New Roman" w:eastAsia="仿宋_GB2312" w:cs="Times New Roman"/>
          <w:spacing w:val="0"/>
          <w:sz w:val="32"/>
          <w:szCs w:val="32"/>
          <w:lang w:val="en-US" w:eastAsia="zh-CN"/>
        </w:rPr>
        <w:t>炭步镇石湖中社</w:t>
      </w:r>
      <w:r>
        <w:rPr>
          <w:rFonts w:hint="default" w:ascii="Times New Roman" w:hAnsi="Times New Roman" w:eastAsia="仿宋_GB2312" w:cs="Times New Roman"/>
          <w:sz w:val="32"/>
          <w:szCs w:val="32"/>
        </w:rPr>
        <w:t>经济合作社属下的集体</w:t>
      </w:r>
      <w:r>
        <w:rPr>
          <w:rFonts w:hint="default" w:ascii="Times New Roman" w:hAnsi="Times New Roman" w:eastAsia="仿宋_GB2312" w:cs="Times New Roman"/>
          <w:sz w:val="32"/>
          <w:szCs w:val="32"/>
          <w:lang w:eastAsia="zh-CN"/>
        </w:rPr>
        <w:t>所有</w:t>
      </w:r>
      <w:r>
        <w:rPr>
          <w:rFonts w:hint="default" w:ascii="Times New Roman" w:hAnsi="Times New Roman" w:eastAsia="仿宋_GB2312" w:cs="Times New Roman"/>
          <w:sz w:val="32"/>
          <w:szCs w:val="32"/>
        </w:rPr>
        <w:t>土地</w:t>
      </w:r>
      <w:r>
        <w:rPr>
          <w:rFonts w:hint="default" w:ascii="Times New Roman" w:hAnsi="Times New Roman" w:eastAsia="仿宋_GB2312" w:cs="Times New Roman"/>
          <w:sz w:val="32"/>
          <w:szCs w:val="32"/>
          <w:lang w:val="en-US" w:eastAsia="zh-CN"/>
        </w:rPr>
        <w:t>0.0860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1.2900亩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。其中建设用地</w:t>
      </w:r>
      <w:r>
        <w:rPr>
          <w:rFonts w:hint="default" w:ascii="Times New Roman" w:hAnsi="Times New Roman" w:eastAsia="仿宋_GB2312" w:cs="Times New Roman"/>
          <w:sz w:val="32"/>
          <w:szCs w:val="32"/>
          <w:lang w:val="en-US" w:eastAsia="zh-CN"/>
        </w:rPr>
        <w:t>0.0860</w:t>
      </w:r>
      <w:r>
        <w:rPr>
          <w:rFonts w:hint="default" w:ascii="Times New Roman" w:hAnsi="Times New Roman" w:eastAsia="仿宋_GB2312" w:cs="Times New Roman"/>
          <w:sz w:val="32"/>
          <w:szCs w:val="32"/>
        </w:rPr>
        <w:t>公顷（</w:t>
      </w:r>
      <w:r>
        <w:rPr>
          <w:rFonts w:hint="default" w:ascii="Times New Roman" w:hAnsi="Times New Roman" w:eastAsia="仿宋_GB2312" w:cs="Times New Roman"/>
          <w:sz w:val="32"/>
          <w:szCs w:val="32"/>
          <w:lang w:val="en-US" w:eastAsia="zh-CN"/>
        </w:rPr>
        <w:t>1.2900</w:t>
      </w:r>
      <w:r>
        <w:rPr>
          <w:rFonts w:hint="default" w:ascii="Times New Roman" w:hAnsi="Times New Roman" w:eastAsia="仿宋_GB2312" w:cs="Times New Roman"/>
          <w:sz w:val="32"/>
          <w:szCs w:val="32"/>
        </w:rPr>
        <w:t>亩）</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不涉及农用地及</w:t>
      </w:r>
      <w:r>
        <w:rPr>
          <w:rFonts w:hint="default" w:ascii="Times New Roman" w:hAnsi="Times New Roman" w:eastAsia="仿宋_GB2312" w:cs="Times New Roman"/>
          <w:sz w:val="32"/>
          <w:szCs w:val="32"/>
          <w:lang w:eastAsia="zh-CN"/>
        </w:rPr>
        <w:t>未利用地。</w:t>
      </w:r>
    </w:p>
    <w:p w14:paraId="144AC0CE">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四、补偿方式和标准</w:t>
      </w:r>
    </w:p>
    <w:p w14:paraId="4538B4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（一）土地补偿费和安置补助费标准。</w:t>
      </w:r>
    </w:p>
    <w:p w14:paraId="22F8C28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根据《中华人民共和国土地管理法》《广东省土地管理条例》等规定，并结合</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广东省自然资源厅关于</w:t>
      </w:r>
      <w:r>
        <w:rPr>
          <w:rFonts w:hint="default" w:ascii="Times New Roman" w:hAnsi="Times New Roman" w:eastAsia="仿宋_GB2312" w:cs="Times New Roman"/>
          <w:sz w:val="32"/>
          <w:szCs w:val="32"/>
          <w:highlight w:val="none"/>
        </w:rPr>
        <w:t>广州</w:t>
      </w:r>
      <w:r>
        <w:rPr>
          <w:rFonts w:hint="default" w:ascii="Times New Roman" w:hAnsi="Times New Roman" w:eastAsia="仿宋_GB2312" w:cs="Times New Roman"/>
          <w:sz w:val="32"/>
          <w:szCs w:val="32"/>
          <w:highlight w:val="none"/>
          <w:lang w:eastAsia="zh-CN"/>
        </w:rPr>
        <w:t>市</w:t>
      </w:r>
      <w:r>
        <w:rPr>
          <w:rFonts w:hint="default" w:ascii="Times New Roman" w:hAnsi="Times New Roman" w:eastAsia="仿宋_GB2312" w:cs="Times New Roman"/>
          <w:sz w:val="32"/>
          <w:szCs w:val="32"/>
          <w:highlight w:val="none"/>
        </w:rPr>
        <w:t>征收农用地区片综合地价</w:t>
      </w:r>
      <w:r>
        <w:rPr>
          <w:rFonts w:hint="default" w:ascii="Times New Roman" w:hAnsi="Times New Roman" w:eastAsia="仿宋_GB2312" w:cs="Times New Roman"/>
          <w:sz w:val="32"/>
          <w:szCs w:val="32"/>
          <w:highlight w:val="none"/>
          <w:lang w:eastAsia="zh-CN"/>
        </w:rPr>
        <w:t>成果的批复</w:t>
      </w:r>
      <w:r>
        <w:rPr>
          <w:rFonts w:hint="default" w:ascii="Times New Roman" w:hAnsi="Times New Roman" w:eastAsia="仿宋_GB2312" w:cs="Times New Roman"/>
          <w:sz w:val="32"/>
          <w:szCs w:val="32"/>
          <w:highlight w:val="none"/>
        </w:rPr>
        <w:t>》</w:t>
      </w:r>
      <w:r>
        <w:rPr>
          <w:rFonts w:hint="default" w:ascii="Times New Roman" w:hAnsi="Times New Roman" w:eastAsia="仿宋_GB2312" w:cs="Times New Roman"/>
          <w:sz w:val="32"/>
          <w:szCs w:val="32"/>
          <w:highlight w:val="none"/>
          <w:lang w:eastAsia="zh-CN"/>
        </w:rPr>
        <w:t>（粤自然资函〔202</w:t>
      </w:r>
      <w:r>
        <w:rPr>
          <w:rFonts w:hint="default" w:ascii="Times New Roman" w:hAnsi="Times New Roman"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highlight w:val="none"/>
          <w:lang w:val="en-US" w:eastAsia="zh-CN"/>
        </w:rPr>
        <w:t>103号</w:t>
      </w:r>
      <w:r>
        <w:rPr>
          <w:rFonts w:hint="default" w:ascii="Times New Roman" w:hAnsi="Times New Roman" w:eastAsia="仿宋_GB2312" w:cs="Times New Roman"/>
          <w:sz w:val="32"/>
          <w:szCs w:val="32"/>
          <w:highlight w:val="none"/>
          <w:lang w:eastAsia="zh-CN"/>
        </w:rPr>
        <w:t>）</w:t>
      </w:r>
      <w:r>
        <w:rPr>
          <w:rFonts w:hint="default" w:ascii="Times New Roman" w:hAnsi="Times New Roman" w:eastAsia="仿宋_GB2312" w:cs="Times New Roman"/>
          <w:sz w:val="32"/>
          <w:szCs w:val="32"/>
        </w:rPr>
        <w:t>的规定，</w:t>
      </w:r>
      <w:r>
        <w:rPr>
          <w:rFonts w:hint="default" w:ascii="Times New Roman" w:hAnsi="Times New Roman" w:eastAsia="仿宋_GB2312" w:cs="Times New Roman"/>
          <w:sz w:val="32"/>
          <w:szCs w:val="32"/>
          <w:lang w:eastAsia="zh-CN"/>
        </w:rPr>
        <w:t>土地补偿标准为</w:t>
      </w:r>
      <w:r>
        <w:rPr>
          <w:rFonts w:hint="default" w:ascii="Times New Roman" w:hAnsi="Times New Roman" w:eastAsia="仿宋_GB2312" w:cs="Times New Roman"/>
          <w:sz w:val="32"/>
          <w:szCs w:val="32"/>
          <w:lang w:val="en-US" w:eastAsia="zh-CN"/>
        </w:rPr>
        <w:t>82.5万元/公顷，安置补助标准为82.5万元/公顷。</w:t>
      </w:r>
    </w:p>
    <w:p w14:paraId="18B0AA6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lang w:eastAsia="zh-CN"/>
        </w:rPr>
      </w:pPr>
      <w:r>
        <w:rPr>
          <w:rFonts w:hint="default" w:ascii="Times New Roman" w:hAnsi="Times New Roman" w:eastAsia="仿宋_GB2312" w:cs="Times New Roman"/>
          <w:color w:val="auto"/>
          <w:sz w:val="32"/>
          <w:szCs w:val="32"/>
          <w:highlight w:val="none"/>
        </w:rPr>
        <w:t>（二）农村村民住宅补偿</w:t>
      </w:r>
      <w:r>
        <w:rPr>
          <w:rFonts w:hint="default" w:ascii="Times New Roman" w:hAnsi="Times New Roman" w:eastAsia="仿宋_GB2312" w:cs="Times New Roman"/>
          <w:color w:val="auto"/>
          <w:sz w:val="32"/>
          <w:szCs w:val="32"/>
          <w:highlight w:val="none"/>
          <w:lang w:eastAsia="zh-CN"/>
        </w:rPr>
        <w:t>。</w:t>
      </w:r>
    </w:p>
    <w:p w14:paraId="084F75F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highlight w:val="none"/>
        </w:rPr>
      </w:pPr>
      <w:r>
        <w:rPr>
          <w:rFonts w:hint="default" w:ascii="Times New Roman" w:hAnsi="Times New Roman" w:eastAsia="仿宋_GB2312" w:cs="Times New Roman"/>
          <w:b w:val="0"/>
          <w:bCs w:val="0"/>
          <w:snapToGrid/>
          <w:color w:val="auto"/>
          <w:spacing w:val="0"/>
          <w:kern w:val="0"/>
          <w:sz w:val="32"/>
          <w:szCs w:val="32"/>
          <w:highlight w:val="none"/>
          <w:lang w:val="en-US" w:eastAsia="zh-CN"/>
        </w:rPr>
        <w:t>本次征地不涉及</w:t>
      </w:r>
      <w:r>
        <w:rPr>
          <w:rFonts w:hint="default" w:ascii="Times New Roman" w:hAnsi="Times New Roman" w:eastAsia="仿宋_GB2312" w:cs="Times New Roman"/>
          <w:color w:val="auto"/>
          <w:sz w:val="32"/>
          <w:szCs w:val="32"/>
          <w:highlight w:val="none"/>
          <w:lang w:eastAsia="zh-CN"/>
        </w:rPr>
        <w:t>农村村民住宅</w:t>
      </w:r>
      <w:r>
        <w:rPr>
          <w:rFonts w:hint="default" w:ascii="Times New Roman" w:hAnsi="Times New Roman" w:eastAsia="仿宋_GB2312" w:cs="Times New Roman"/>
          <w:b w:val="0"/>
          <w:bCs w:val="0"/>
          <w:snapToGrid/>
          <w:color w:val="auto"/>
          <w:spacing w:val="0"/>
          <w:kern w:val="0"/>
          <w:sz w:val="32"/>
          <w:szCs w:val="32"/>
          <w:highlight w:val="none"/>
          <w:lang w:val="en-US" w:eastAsia="zh-CN"/>
        </w:rPr>
        <w:t>补偿。</w:t>
      </w:r>
    </w:p>
    <w:p w14:paraId="395278A6">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eastAsia="zh-CN"/>
        </w:rPr>
        <w:t>。</w:t>
      </w:r>
    </w:p>
    <w:p w14:paraId="62EC316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highlight w:val="none"/>
          <w:lang w:eastAsia="zh-CN"/>
        </w:rPr>
      </w:pPr>
      <w:r>
        <w:rPr>
          <w:rFonts w:hint="default" w:ascii="Times New Roman" w:hAnsi="Times New Roman" w:eastAsia="仿宋_GB2312" w:cs="Times New Roman"/>
          <w:sz w:val="32"/>
          <w:szCs w:val="32"/>
        </w:rPr>
        <w:t>青苗及其他地上附着物补偿</w:t>
      </w:r>
      <w:r>
        <w:rPr>
          <w:rFonts w:hint="default" w:ascii="Times New Roman" w:hAnsi="Times New Roman" w:eastAsia="仿宋_GB2312" w:cs="Times New Roman"/>
          <w:sz w:val="32"/>
          <w:szCs w:val="32"/>
          <w:lang w:val="en-US" w:eastAsia="zh-CN"/>
        </w:rPr>
        <w:t>按照《广州市花都区人民政府关于公布实施广州市花都区征收农村村民住宅、其他地上附着物以及青苗补偿费用标准的公告》（花府规〔2025</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3号）</w:t>
      </w:r>
      <w:r>
        <w:rPr>
          <w:rFonts w:hint="eastAsia" w:eastAsia="仿宋_GB2312"/>
          <w:kern w:val="2"/>
          <w:sz w:val="32"/>
        </w:rPr>
        <w:t>的规定执行</w:t>
      </w:r>
      <w:r>
        <w:rPr>
          <w:rFonts w:hint="default" w:ascii="Times New Roman" w:hAnsi="Times New Roman" w:eastAsia="仿宋_GB2312" w:cs="Times New Roman"/>
          <w:strike w:val="0"/>
          <w:sz w:val="32"/>
          <w:szCs w:val="32"/>
          <w:lang w:eastAsia="zh-CN"/>
        </w:rPr>
        <w:t>。</w:t>
      </w:r>
    </w:p>
    <w:p w14:paraId="62B7BEBB">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五、安置对象</w:t>
      </w:r>
    </w:p>
    <w:p w14:paraId="4764A66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享有农村集体土地承包权的农户，家庭承包的土地被政府依法统一征收的，其征地安置补偿方案制定时属于农村集体经济组织成员且年满16周岁以上的家庭成员，纳入征地社保费补贴对象范围。农村集体经济组织另有规定的，可从其规定。不满16周岁的安置人员不作为被征地农民参加城乡社会保障。安置补助费由区人民政府按规定支付给土地所有权人，由农村财务管理部门按照省、市农村集体资产管理相关规定管理和使用。</w:t>
      </w:r>
    </w:p>
    <w:p w14:paraId="439EE8FF">
      <w:pPr>
        <w:pStyle w:val="6"/>
        <w:keepNext w:val="0"/>
        <w:keepLines w:val="0"/>
        <w:pageBreakBefore w:val="0"/>
        <w:widowControl w:val="0"/>
        <w:kinsoku/>
        <w:wordWrap/>
        <w:overflowPunct/>
        <w:topLinePunct w:val="0"/>
        <w:autoSpaceDE/>
        <w:autoSpaceDN/>
        <w:bidi w:val="0"/>
        <w:adjustRightInd/>
        <w:snapToGrid/>
        <w:spacing w:before="0" w:line="560" w:lineRule="exact"/>
        <w:ind w:left="0" w:right="0" w:firstLine="640" w:firstLineChars="200"/>
        <w:jc w:val="both"/>
        <w:textAlignment w:val="auto"/>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六、安置方式和社会保障</w:t>
      </w:r>
    </w:p>
    <w:p w14:paraId="713C0B5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lang w:eastAsia="zh-CN"/>
        </w:rPr>
        <w:t>（一）货币安置。所需费用已包含在土地补偿安置费中。</w:t>
      </w:r>
    </w:p>
    <w:p w14:paraId="495300F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kern w:val="0"/>
          <w:sz w:val="32"/>
          <w:szCs w:val="32"/>
          <w:lang w:val="en-US" w:eastAsia="zh-CN" w:bidi="ar"/>
        </w:rPr>
      </w:pPr>
      <w:r>
        <w:rPr>
          <w:rFonts w:hint="default" w:ascii="Times New Roman" w:hAnsi="Times New Roman" w:eastAsia="仿宋_GB2312" w:cs="Times New Roman"/>
          <w:sz w:val="32"/>
          <w:szCs w:val="32"/>
          <w:lang w:eastAsia="zh-CN"/>
        </w:rPr>
        <w:t>（二）留用地安置。</w:t>
      </w:r>
      <w:r>
        <w:rPr>
          <w:rFonts w:hint="default" w:ascii="Times New Roman" w:hAnsi="Times New Roman" w:eastAsia="仿宋_GB2312" w:cs="Times New Roman"/>
          <w:color w:val="auto"/>
          <w:kern w:val="0"/>
          <w:sz w:val="32"/>
          <w:szCs w:val="32"/>
          <w:lang w:val="en-US" w:eastAsia="zh-CN" w:bidi="ar"/>
        </w:rPr>
        <w:t>根据</w:t>
      </w:r>
      <w:r>
        <w:rPr>
          <w:rFonts w:hint="default" w:ascii="Times New Roman" w:hAnsi="Times New Roman" w:eastAsia="仿宋_GB2312" w:cs="Times New Roman"/>
          <w:bCs w:val="0"/>
          <w:color w:val="auto"/>
          <w:kern w:val="0"/>
          <w:sz w:val="32"/>
          <w:szCs w:val="32"/>
          <w:lang w:val="en-US" w:eastAsia="zh-CN" w:bidi="ar"/>
        </w:rPr>
        <w:t>《广东省人民政府办公厅关于加强征收农村集体土地留用地安置管理工作的意见》</w:t>
      </w:r>
      <w:r>
        <w:rPr>
          <w:rFonts w:hint="default" w:ascii="Times New Roman" w:hAnsi="Times New Roman" w:eastAsia="仿宋_GB2312" w:cs="Times New Roman"/>
          <w:color w:val="auto"/>
          <w:kern w:val="0"/>
          <w:sz w:val="32"/>
          <w:szCs w:val="32"/>
          <w:lang w:val="en-US" w:eastAsia="zh-CN" w:bidi="ar"/>
        </w:rPr>
        <w:t>（粤</w:t>
      </w:r>
      <w:r>
        <w:rPr>
          <w:rFonts w:hint="default" w:ascii="Times New Roman" w:hAnsi="Times New Roman" w:eastAsia="仿宋_GB2312" w:cs="Times New Roman"/>
          <w:bCs w:val="0"/>
          <w:i w:val="0"/>
          <w:iCs w:val="0"/>
          <w:caps w:val="0"/>
          <w:color w:val="auto"/>
          <w:spacing w:val="0"/>
          <w:kern w:val="0"/>
          <w:sz w:val="32"/>
          <w:szCs w:val="32"/>
          <w:lang w:val="en-US" w:eastAsia="zh-CN" w:bidi="ar"/>
        </w:rPr>
        <w:t>府办</w:t>
      </w:r>
      <w:r>
        <w:rPr>
          <w:rFonts w:hint="default" w:ascii="Times New Roman" w:hAnsi="Times New Roman" w:eastAsia="仿宋_GB2312" w:cs="Times New Roman"/>
          <w:color w:val="auto"/>
          <w:kern w:val="0"/>
          <w:sz w:val="32"/>
          <w:szCs w:val="32"/>
          <w:lang w:val="en-US" w:eastAsia="zh-CN" w:bidi="ar"/>
        </w:rPr>
        <w:t>〔2016〕</w:t>
      </w:r>
      <w:r>
        <w:rPr>
          <w:rFonts w:hint="default" w:ascii="Times New Roman" w:hAnsi="Times New Roman" w:eastAsia="仿宋_GB2312" w:cs="Times New Roman"/>
          <w:bCs w:val="0"/>
          <w:color w:val="auto"/>
          <w:kern w:val="0"/>
          <w:sz w:val="32"/>
          <w:szCs w:val="32"/>
          <w:u w:val="none"/>
          <w:lang w:val="en-US" w:eastAsia="zh-CN" w:bidi="ar"/>
        </w:rPr>
        <w:t>30</w:t>
      </w:r>
      <w:r>
        <w:rPr>
          <w:rFonts w:hint="default" w:ascii="Times New Roman" w:hAnsi="Times New Roman" w:eastAsia="仿宋_GB2312" w:cs="Times New Roman"/>
          <w:color w:val="auto"/>
          <w:kern w:val="0"/>
          <w:sz w:val="32"/>
          <w:szCs w:val="32"/>
          <w:lang w:val="en-US" w:eastAsia="zh-CN" w:bidi="ar"/>
        </w:rPr>
        <w:t>号）的规定，按实际征收土地面积的</w:t>
      </w:r>
      <w:r>
        <w:rPr>
          <w:rFonts w:hint="default" w:ascii="Times New Roman" w:hAnsi="Times New Roman" w:eastAsia="仿宋_GB2312" w:cs="Times New Roman"/>
          <w:bCs w:val="0"/>
          <w:color w:val="auto"/>
          <w:kern w:val="0"/>
          <w:sz w:val="32"/>
          <w:szCs w:val="32"/>
          <w:u w:val="none"/>
          <w:lang w:val="en-US" w:eastAsia="zh-CN" w:bidi="ar"/>
        </w:rPr>
        <w:t>10</w:t>
      </w:r>
      <w:r>
        <w:rPr>
          <w:rFonts w:hint="default" w:ascii="Times New Roman" w:hAnsi="Times New Roman" w:eastAsia="仿宋_GB2312" w:cs="Times New Roman"/>
          <w:color w:val="auto"/>
          <w:kern w:val="0"/>
          <w:sz w:val="32"/>
          <w:szCs w:val="32"/>
          <w:lang w:val="en-US" w:eastAsia="zh-CN" w:bidi="ar"/>
        </w:rPr>
        <w:t>%，按照130万元/亩折算货币补偿方式安排留用地。</w:t>
      </w:r>
    </w:p>
    <w:p w14:paraId="616A9EA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color w:val="auto"/>
          <w:kern w:val="0"/>
          <w:sz w:val="32"/>
          <w:szCs w:val="32"/>
          <w:lang w:val="en-US" w:eastAsia="zh-CN" w:bidi="ar"/>
        </w:rPr>
        <w:t>（三）社会保障。</w:t>
      </w:r>
      <w:r>
        <w:rPr>
          <w:rFonts w:hint="default" w:ascii="Times New Roman" w:hAnsi="Times New Roman" w:eastAsia="仿宋_GB2312" w:cs="Times New Roman"/>
          <w:color w:val="auto"/>
          <w:sz w:val="32"/>
          <w:szCs w:val="32"/>
          <w:u w:val="none"/>
          <w:lang w:eastAsia="zh-CN"/>
        </w:rPr>
        <w:t>该项目征收</w:t>
      </w:r>
      <w:r>
        <w:rPr>
          <w:rFonts w:hint="eastAsia" w:ascii="Times New Roman" w:hAnsi="Times New Roman" w:eastAsia="仿宋_GB2312" w:cs="Times New Roman"/>
          <w:color w:val="auto"/>
          <w:sz w:val="32"/>
          <w:szCs w:val="32"/>
          <w:u w:val="none"/>
          <w:lang w:val="en-US" w:eastAsia="zh-CN"/>
        </w:rPr>
        <w:t>广州市花都区</w:t>
      </w:r>
      <w:r>
        <w:rPr>
          <w:rFonts w:hint="default" w:ascii="Times New Roman" w:hAnsi="Times New Roman" w:eastAsia="仿宋_GB2312" w:cs="Times New Roman"/>
          <w:color w:val="auto"/>
          <w:sz w:val="32"/>
          <w:szCs w:val="32"/>
          <w:u w:val="none"/>
          <w:lang w:eastAsia="zh-CN"/>
        </w:rPr>
        <w:t>炭步镇石湖村土地面积共</w:t>
      </w:r>
      <w:r>
        <w:rPr>
          <w:rFonts w:hint="default" w:ascii="Times New Roman" w:hAnsi="Times New Roman" w:eastAsia="仿宋_GB2312" w:cs="Times New Roman"/>
          <w:color w:val="auto"/>
          <w:sz w:val="32"/>
          <w:szCs w:val="32"/>
          <w:u w:val="none"/>
          <w:lang w:val="en-US" w:eastAsia="zh-CN"/>
        </w:rPr>
        <w:t>1.2900</w:t>
      </w:r>
      <w:r>
        <w:rPr>
          <w:rFonts w:hint="default" w:ascii="Times New Roman" w:hAnsi="Times New Roman" w:eastAsia="仿宋_GB2312" w:cs="Times New Roman"/>
          <w:color w:val="auto"/>
          <w:sz w:val="32"/>
          <w:szCs w:val="32"/>
          <w:u w:val="none"/>
          <w:lang w:eastAsia="zh-CN"/>
        </w:rPr>
        <w:t>亩，</w:t>
      </w:r>
      <w:r>
        <w:rPr>
          <w:rFonts w:hint="default" w:ascii="Times New Roman" w:hAnsi="Times New Roman" w:eastAsia="仿宋_GB2312" w:cs="Times New Roman"/>
          <w:color w:val="auto"/>
          <w:kern w:val="0"/>
          <w:sz w:val="32"/>
          <w:szCs w:val="32"/>
          <w:lang w:val="en-US" w:eastAsia="zh-CN" w:bidi="ar"/>
        </w:rPr>
        <w:t>根据《广东省人民政府办公厅转发省人力资源社会保障厅关于进一步完善我省被征地农民养老保障政策意见的通知》（粤府办〔2021〕22号）规定，核定该项目按2.14万元/亩的标准一次性计提征地社保费共2.77万元，预存入区</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收缴被征地农民养老保障资金过渡户</w:t>
      </w:r>
      <w:r>
        <w:rPr>
          <w:rFonts w:hint="eastAsia" w:ascii="Times New Roman" w:hAnsi="Times New Roman" w:eastAsia="仿宋_GB2312" w:cs="Times New Roman"/>
          <w:kern w:val="0"/>
          <w:sz w:val="32"/>
          <w:szCs w:val="32"/>
          <w:lang w:val="en-US" w:eastAsia="zh-CN" w:bidi="ar"/>
        </w:rPr>
        <w:t>”</w:t>
      </w:r>
      <w:r>
        <w:rPr>
          <w:rFonts w:hint="default" w:ascii="Times New Roman" w:hAnsi="Times New Roman" w:eastAsia="仿宋_GB2312" w:cs="Times New Roman"/>
          <w:color w:val="auto"/>
          <w:kern w:val="0"/>
          <w:sz w:val="32"/>
          <w:szCs w:val="32"/>
          <w:lang w:val="en-US" w:eastAsia="zh-CN" w:bidi="ar"/>
        </w:rPr>
        <w:t>，</w:t>
      </w:r>
      <w:r>
        <w:rPr>
          <w:rFonts w:hint="default" w:ascii="Times New Roman" w:hAnsi="Times New Roman" w:eastAsia="仿宋_GB2312" w:cs="Times New Roman"/>
          <w:color w:val="auto"/>
          <w:kern w:val="0"/>
          <w:sz w:val="32"/>
          <w:szCs w:val="32"/>
          <w:u w:val="none"/>
          <w:lang w:val="en-US" w:eastAsia="zh-CN" w:bidi="ar"/>
        </w:rPr>
        <w:t>专款用于被征地农民养老保障</w:t>
      </w:r>
      <w:r>
        <w:rPr>
          <w:rFonts w:hint="default" w:ascii="Times New Roman" w:hAnsi="Times New Roman" w:eastAsia="仿宋_GB2312" w:cs="Times New Roman"/>
          <w:color w:val="auto"/>
          <w:kern w:val="0"/>
          <w:sz w:val="32"/>
          <w:szCs w:val="32"/>
          <w:lang w:val="en-US" w:eastAsia="zh-CN" w:bidi="ar"/>
        </w:rPr>
        <w:t>。</w:t>
      </w:r>
    </w:p>
    <w:p w14:paraId="0E5524F0">
      <w:pPr>
        <w:pStyle w:val="6"/>
        <w:widowControl w:val="0"/>
        <w:numPr>
          <w:ilvl w:val="0"/>
          <w:numId w:val="0"/>
        </w:numPr>
        <w:spacing w:before="10" w:after="0" w:line="256" w:lineRule="auto"/>
        <w:ind w:right="111" w:rightChars="0"/>
        <w:jc w:val="both"/>
        <w:rPr>
          <w:rFonts w:hint="eastAsia" w:ascii="Times New Roman" w:hAnsi="Times New Roman" w:eastAsia="仿宋_GB2312" w:cs="仿宋_GB2312"/>
          <w:sz w:val="32"/>
          <w:szCs w:val="32"/>
        </w:rPr>
      </w:pPr>
    </w:p>
    <w:p w14:paraId="6C80C101">
      <w:pPr>
        <w:pStyle w:val="6"/>
        <w:spacing w:before="0" w:line="437" w:lineRule="exact"/>
        <w:ind w:left="0" w:right="260"/>
        <w:jc w:val="right"/>
        <w:rPr>
          <w:rFonts w:hint="eastAsia" w:ascii="Times New Roman" w:hAnsi="Times New Roman" w:eastAsia="仿宋_GB2312" w:cs="仿宋_GB2312"/>
          <w:sz w:val="32"/>
          <w:szCs w:val="32"/>
        </w:rPr>
      </w:pPr>
    </w:p>
    <w:p w14:paraId="04F09EC6">
      <w:pPr>
        <w:pStyle w:val="6"/>
        <w:spacing w:before="0" w:line="437" w:lineRule="exact"/>
        <w:ind w:left="0" w:right="260"/>
        <w:jc w:val="right"/>
        <w:rPr>
          <w:rFonts w:hint="eastAsia" w:ascii="Times New Roman" w:hAnsi="Times New Roman" w:eastAsia="仿宋_GB2312" w:cs="仿宋_GB2312"/>
          <w:sz w:val="32"/>
          <w:szCs w:val="32"/>
        </w:rPr>
      </w:pPr>
    </w:p>
    <w:p w14:paraId="2E72DDC4">
      <w:pPr>
        <w:pStyle w:val="6"/>
        <w:spacing w:before="0" w:line="437" w:lineRule="exact"/>
        <w:ind w:left="0" w:right="260"/>
        <w:jc w:val="right"/>
        <w:rPr>
          <w:rFonts w:hint="eastAsia" w:ascii="Times New Roman" w:hAnsi="Times New Roman" w:eastAsia="仿宋_GB2312" w:cs="仿宋_GB2312"/>
          <w:sz w:val="32"/>
          <w:szCs w:val="32"/>
        </w:rPr>
      </w:pPr>
      <w:r>
        <w:rPr>
          <w:rFonts w:hint="eastAsia" w:ascii="Times New Roman" w:hAnsi="Times New Roman" w:eastAsia="仿宋_GB2312" w:cs="仿宋_GB2312"/>
          <w:sz w:val="32"/>
          <w:szCs w:val="32"/>
        </w:rPr>
        <w:t>广州市</w:t>
      </w:r>
      <w:r>
        <w:rPr>
          <w:rFonts w:hint="eastAsia" w:ascii="Times New Roman" w:hAnsi="Times New Roman" w:eastAsia="仿宋_GB2312" w:cs="仿宋_GB2312"/>
          <w:sz w:val="32"/>
          <w:szCs w:val="32"/>
          <w:lang w:eastAsia="zh-CN"/>
        </w:rPr>
        <w:t>规划和自然资源局花都区分局</w:t>
      </w:r>
    </w:p>
    <w:p w14:paraId="76397E1A">
      <w:pPr>
        <w:pStyle w:val="6"/>
        <w:spacing w:line="240" w:lineRule="auto"/>
        <w:ind w:left="0" w:right="260"/>
        <w:jc w:val="center"/>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val="en-US" w:eastAsia="zh-CN"/>
        </w:rPr>
        <w:t>202</w:t>
      </w:r>
      <w:r>
        <w:rPr>
          <w:rFonts w:hint="eastAsia"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ascii="Times New Roman" w:hAnsi="Times New Roman" w:eastAsia="仿宋_GB2312" w:cs="Times New Roman"/>
          <w:sz w:val="32"/>
          <w:szCs w:val="32"/>
          <w:lang w:val="en-US" w:eastAsia="zh-CN"/>
        </w:rPr>
        <w:t>12</w:t>
      </w:r>
      <w:r>
        <w:rPr>
          <w:rFonts w:hint="default" w:ascii="Times New Roman" w:hAnsi="Times New Roman" w:eastAsia="仿宋_GB2312" w:cs="Times New Roman"/>
          <w:sz w:val="32"/>
          <w:szCs w:val="32"/>
        </w:rPr>
        <w:t>月</w:t>
      </w:r>
      <w:r>
        <w:rPr>
          <w:rFonts w:hint="eastAsia" w:ascii="Times New Roman" w:hAnsi="Times New Roman" w:eastAsia="仿宋_GB2312" w:cs="Times New Roman"/>
          <w:spacing w:val="-35"/>
          <w:sz w:val="32"/>
          <w:szCs w:val="32"/>
          <w:lang w:val="en-US" w:eastAsia="zh-CN"/>
        </w:rPr>
        <w:t>25</w:t>
      </w:r>
      <w:bookmarkStart w:id="0" w:name="_GoBack"/>
      <w:bookmarkEnd w:id="0"/>
      <w:r>
        <w:rPr>
          <w:rFonts w:hint="default" w:ascii="Times New Roman" w:hAnsi="Times New Roman" w:eastAsia="仿宋_GB2312" w:cs="Times New Roman"/>
          <w:sz w:val="32"/>
          <w:szCs w:val="32"/>
        </w:rPr>
        <w:t>日</w:t>
      </w:r>
    </w:p>
    <w:sectPr>
      <w:footerReference r:id="rId5" w:type="default"/>
      <w:pgSz w:w="11910" w:h="16840"/>
      <w:pgMar w:top="1520" w:right="1540" w:bottom="1160" w:left="1680" w:header="0" w:footer="97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2BFBD5CC-E225-4E3A-AF2B-CC0BAFF1C4D4}"/>
  </w:font>
  <w:font w:name="Adobe 黑体 Std R">
    <w:altName w:val="黑体"/>
    <w:panose1 w:val="020B0400000000000000"/>
    <w:charset w:val="80"/>
    <w:family w:val="swiss"/>
    <w:pitch w:val="default"/>
    <w:sig w:usb0="00000000" w:usb1="00000000" w:usb2="00000016" w:usb3="00000000" w:csb0="00060007" w:csb1="00000000"/>
    <w:embedRegular r:id="rId2" w:fontKey="{A0A9345A-EC57-4346-B925-9B8297588973}"/>
  </w:font>
  <w:font w:name="方正小标宋简体">
    <w:panose1 w:val="02000000000000000000"/>
    <w:charset w:val="86"/>
    <w:family w:val="auto"/>
    <w:pitch w:val="default"/>
    <w:sig w:usb0="00000001" w:usb1="080E0000" w:usb2="00000000" w:usb3="00000000" w:csb0="00040000" w:csb1="00000000"/>
    <w:embedRegular r:id="rId3" w:fontKey="{E79F5DB6-3395-4CED-BB7D-AE7D7421461E}"/>
  </w:font>
  <w:font w:name="仿宋_GB2312">
    <w:panose1 w:val="02010609030101010101"/>
    <w:charset w:val="86"/>
    <w:family w:val="auto"/>
    <w:pitch w:val="default"/>
    <w:sig w:usb0="00000001" w:usb1="080E0000" w:usb2="00000000" w:usb3="00000000" w:csb0="00040000" w:csb1="00000000"/>
    <w:embedRegular r:id="rId4" w:fontKey="{AFC8C9BA-8BE0-4B90-8EC7-4ED37BD0D8C5}"/>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14F7BA">
    <w:pPr>
      <w:spacing w:before="0" w:after="0" w:line="14" w:lineRule="auto"/>
      <w:rPr>
        <w:sz w:val="20"/>
        <w:szCs w:val="20"/>
      </w:rPr>
    </w:pPr>
    <w:r>
      <w:pict>
        <v:shape id="_x0000_s4097" o:spid="_x0000_s4097" o:spt="202" type="#_x0000_t202" style="position:absolute;left:0pt;margin-left:291pt;margin-top:782.3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14:paraId="756D04E9">
                <w:pPr>
                  <w:spacing w:before="0" w:line="203" w:lineRule="exact"/>
                  <w:ind w:left="40" w:right="0" w:firstLine="0"/>
                  <w:jc w:val="left"/>
                  <w:rPr>
                    <w:rFonts w:ascii="Calibri" w:hAnsi="Calibri" w:eastAsia="Calibri" w:cs="Calibri"/>
                    <w:sz w:val="18"/>
                    <w:szCs w:val="18"/>
                  </w:rPr>
                </w:pP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D74D82E"/>
    <w:multiLevelType w:val="singleLevel"/>
    <w:tmpl w:val="FD74D82E"/>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6"/>
  <w:embedTrueTypeFonts/>
  <w:saveSubsetFonts/>
  <w:bordersDoNotSurroundHeader w:val="0"/>
  <w:bordersDoNotSurroundFooter w:val="0"/>
  <w:trackRevisions w:val="1"/>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footnotePr>
    <w:footnote w:id="0"/>
    <w:footnote w:id="1"/>
  </w:footnotePr>
  <w:endnotePr>
    <w:endnote w:id="0"/>
    <w:endnote w:id="1"/>
  </w:endnotePr>
  <w:compat>
    <w:ulTrailSpace/>
    <w:doNotExpandShiftReturn/>
    <w:doNotWrapTextWithPunct/>
    <w:doNotUseEastAsianBreakRules/>
    <w:useFELayout/>
    <w:doNotUseIndentAsNumberingTabStop/>
    <w:compatSetting w:name="compatibilityMode" w:uri="http://schemas.microsoft.com/office/word" w:val="12"/>
  </w:compat>
  <w:rsids>
    <w:rsidRoot w:val="00000000"/>
    <w:rsid w:val="022A33E1"/>
    <w:rsid w:val="03ED4F45"/>
    <w:rsid w:val="04654DC4"/>
    <w:rsid w:val="0822151D"/>
    <w:rsid w:val="08682950"/>
    <w:rsid w:val="08D15B8E"/>
    <w:rsid w:val="08D87341"/>
    <w:rsid w:val="0BC12118"/>
    <w:rsid w:val="0C890300"/>
    <w:rsid w:val="0D5A4B28"/>
    <w:rsid w:val="0D630F89"/>
    <w:rsid w:val="161B7A15"/>
    <w:rsid w:val="162B00EE"/>
    <w:rsid w:val="16E50DE0"/>
    <w:rsid w:val="19977D8A"/>
    <w:rsid w:val="219E39B8"/>
    <w:rsid w:val="2440676E"/>
    <w:rsid w:val="25173237"/>
    <w:rsid w:val="25477C36"/>
    <w:rsid w:val="267F244D"/>
    <w:rsid w:val="29C73F17"/>
    <w:rsid w:val="2BE439BC"/>
    <w:rsid w:val="2F2F33BB"/>
    <w:rsid w:val="3187156E"/>
    <w:rsid w:val="33085EB0"/>
    <w:rsid w:val="33946D2B"/>
    <w:rsid w:val="34394804"/>
    <w:rsid w:val="34CC172C"/>
    <w:rsid w:val="36B30EC8"/>
    <w:rsid w:val="39A42B0C"/>
    <w:rsid w:val="3B7F12F6"/>
    <w:rsid w:val="3B8E0546"/>
    <w:rsid w:val="3D4536F5"/>
    <w:rsid w:val="3F8571D3"/>
    <w:rsid w:val="40AD4EC0"/>
    <w:rsid w:val="46753A21"/>
    <w:rsid w:val="47EA5951"/>
    <w:rsid w:val="4D1F0243"/>
    <w:rsid w:val="4D4376C6"/>
    <w:rsid w:val="4DB07D38"/>
    <w:rsid w:val="4FDC68BF"/>
    <w:rsid w:val="50186B3E"/>
    <w:rsid w:val="505F6CEB"/>
    <w:rsid w:val="54382FF3"/>
    <w:rsid w:val="54E02594"/>
    <w:rsid w:val="550359AC"/>
    <w:rsid w:val="571C4060"/>
    <w:rsid w:val="5EF369C2"/>
    <w:rsid w:val="5F7D66C9"/>
    <w:rsid w:val="60ED7905"/>
    <w:rsid w:val="61AC57D5"/>
    <w:rsid w:val="62086E4A"/>
    <w:rsid w:val="63714235"/>
    <w:rsid w:val="648418BB"/>
    <w:rsid w:val="6488303F"/>
    <w:rsid w:val="64ED2421"/>
    <w:rsid w:val="65AE61B0"/>
    <w:rsid w:val="664B18ED"/>
    <w:rsid w:val="671A7149"/>
    <w:rsid w:val="681C38A5"/>
    <w:rsid w:val="69FA1288"/>
    <w:rsid w:val="6A0448E5"/>
    <w:rsid w:val="6C7651BB"/>
    <w:rsid w:val="6D106737"/>
    <w:rsid w:val="6DB30687"/>
    <w:rsid w:val="6F8C3791"/>
    <w:rsid w:val="708E5910"/>
    <w:rsid w:val="717A01F2"/>
    <w:rsid w:val="71AA1E72"/>
    <w:rsid w:val="747B57C1"/>
    <w:rsid w:val="75B44CF4"/>
    <w:rsid w:val="768B3F84"/>
    <w:rsid w:val="76910A96"/>
    <w:rsid w:val="78EA6370"/>
    <w:rsid w:val="7D5135A2"/>
    <w:rsid w:val="7E1D286D"/>
    <w:rsid w:val="7F325F7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spacing w:after="0" w:line="240" w:lineRule="auto"/>
    </w:pPr>
    <w:rPr>
      <w:rFonts w:asciiTheme="minorHAnsi" w:hAnsiTheme="minorHAnsi" w:eastAsiaTheme="minorHAnsi" w:cstheme="minorBidi"/>
      <w:sz w:val="22"/>
      <w:szCs w:val="22"/>
      <w:lang w:val="en-US" w:eastAsia="en-US"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widowControl w:val="0"/>
      <w:spacing w:before="260" w:beforeLines="0" w:beforeAutospacing="0" w:after="260" w:afterLines="0" w:afterAutospacing="0" w:line="413" w:lineRule="auto"/>
      <w:jc w:val="both"/>
      <w:outlineLvl w:val="1"/>
    </w:pPr>
    <w:rPr>
      <w:rFonts w:ascii="Arial" w:hAnsi="Arial" w:eastAsia="黑体" w:cstheme="minorBidi"/>
      <w:b/>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99"/>
    <w:pPr>
      <w:widowControl w:val="0"/>
      <w:ind w:firstLine="420" w:firstLineChars="200"/>
    </w:pPr>
    <w:rPr>
      <w:sz w:val="24"/>
    </w:rPr>
  </w:style>
  <w:style w:type="paragraph" w:styleId="5">
    <w:name w:val="annotation text"/>
    <w:basedOn w:val="1"/>
    <w:qFormat/>
    <w:uiPriority w:val="0"/>
    <w:pPr>
      <w:jc w:val="left"/>
    </w:pPr>
  </w:style>
  <w:style w:type="paragraph" w:styleId="6">
    <w:name w:val="Body Text"/>
    <w:basedOn w:val="1"/>
    <w:qFormat/>
    <w:uiPriority w:val="1"/>
    <w:pPr>
      <w:spacing w:before="35"/>
      <w:ind w:left="760"/>
    </w:pPr>
    <w:rPr>
      <w:rFonts w:ascii="Adobe 黑体 Std R" w:hAnsi="Adobe 黑体 Std R" w:eastAsia="Adobe 黑体 Std R"/>
      <w:sz w:val="32"/>
      <w:szCs w:val="32"/>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10">
    <w:name w:val="Table Normal"/>
    <w:semiHidden/>
    <w:unhideWhenUsed/>
    <w:qFormat/>
    <w:uiPriority w:val="2"/>
    <w:tblPr>
      <w:tblCellMar>
        <w:top w:w="0" w:type="dxa"/>
        <w:left w:w="0" w:type="dxa"/>
        <w:bottom w:w="0" w:type="dxa"/>
        <w:right w:w="0" w:type="dxa"/>
      </w:tblCellMar>
    </w:tblPr>
  </w:style>
  <w:style w:type="paragraph" w:styleId="11">
    <w:name w:val="List Paragraph"/>
    <w:basedOn w:val="1"/>
    <w:qFormat/>
    <w:uiPriority w:val="1"/>
  </w:style>
  <w:style w:type="paragraph" w:customStyle="1" w:styleId="12">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3</Pages>
  <Words>1270</Words>
  <Characters>1345</Characters>
  <TotalTime>1</TotalTime>
  <ScaleCrop>false</ScaleCrop>
  <LinksUpToDate>false</LinksUpToDate>
  <CharactersWithSpaces>1402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2023-04-26T16:01:00Z</dcterms:created>
  <dc:creator>Admin</dc:creator>
  <cp:lastModifiedBy>DDD</cp:lastModifiedBy>
  <cp:lastPrinted>2024-12-02T08:00:00Z</cp:lastPrinted>
  <dcterms:modified xsi:type="dcterms:W3CDTF">2025-12-29T07:32:19Z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2023-04-26T00:00:00Z</vt:filetime>
  </property>
  <property fmtid="{D5CDD505-2E9C-101B-9397-08002B2CF9AE}" pid="3" name="Creator">
    <vt:lpwstr>WPS 文字</vt:lpwstr>
  </property>
  <property fmtid="{D5CDD505-2E9C-101B-9397-08002B2CF9AE}" pid="4" name="LastSaved">
    <vt:filetime>2023-04-26T00:00:00Z</vt:filetime>
  </property>
  <property fmtid="{D5CDD505-2E9C-101B-9397-08002B2CF9AE}" pid="5" name="KSOProductBuildVer">
    <vt:lpwstr>2052-12.1.0.23542</vt:lpwstr>
  </property>
  <property fmtid="{D5CDD505-2E9C-101B-9397-08002B2CF9AE}" pid="6" name="ICV">
    <vt:lpwstr>4DFBAE58533245A6A3E6FCA55C54D6E1</vt:lpwstr>
  </property>
  <property fmtid="{D5CDD505-2E9C-101B-9397-08002B2CF9AE}" pid="7" name="KSOTemplateDocerSaveRecord">
    <vt:lpwstr>eyJoZGlkIjoiNDNkNmNlMjVmOGNmZjBkYzhhY2M3YjdlNzVmNzk0NTkiLCJ1c2VySWQiOiI3MTgxOTMzNzAifQ==</vt:lpwstr>
  </property>
</Properties>
</file>