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2BC4706">
      <w:pPr>
        <w:spacing w:line="62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bCs/>
          <w:color w:val="auto"/>
          <w:sz w:val="44"/>
          <w:szCs w:val="44"/>
          <w:lang w:val="en-US" w:eastAsia="zh-CN"/>
        </w:rPr>
        <w:t>广州市花都区2025年度第一百零八批次城镇建设用地（茶塘工业园规划—路建设工</w:t>
      </w:r>
    </w:p>
    <w:p w14:paraId="02037EEC">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bCs/>
          <w:color w:val="auto"/>
          <w:sz w:val="44"/>
          <w:szCs w:val="44"/>
          <w:lang w:val="en-US" w:eastAsia="zh-CN"/>
        </w:rPr>
        <w:t>程〔花都大道交叉口〕）</w:t>
      </w:r>
      <w:r>
        <w:rPr>
          <w:rFonts w:hint="eastAsia" w:ascii="方正小标宋简体" w:hAnsi="方正小标宋简体" w:eastAsia="方正小标宋简体" w:cs="方正小标宋简体"/>
          <w:color w:val="auto"/>
          <w:sz w:val="44"/>
          <w:szCs w:val="44"/>
          <w:lang w:eastAsia="zh-CN"/>
        </w:rPr>
        <w:t>项目</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被征地农民养老保障方案</w:t>
      </w:r>
    </w:p>
    <w:p w14:paraId="61BF5E34">
      <w:pPr>
        <w:pStyle w:val="2"/>
        <w:jc w:val="center"/>
        <w:rPr>
          <w:rFonts w:hint="eastAsia"/>
          <w:color w:val="auto"/>
          <w:lang w:eastAsia="zh-CN"/>
        </w:rPr>
      </w:pP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color w:val="auto"/>
          <w:kern w:val="0"/>
          <w:shd w:val="clear" w:color="auto" w:fill="FFFFFF"/>
          <w:lang w:bidi="ar"/>
        </w:rPr>
        <w:t>依照</w:t>
      </w:r>
      <w:r>
        <w:rPr>
          <w:rFonts w:hint="eastAsia" w:ascii="仿宋_GB2312" w:hAnsi="仿宋_GB2312" w:cs="仿宋_GB2312"/>
          <w:color w:val="auto"/>
        </w:rPr>
        <w:t>《中华人民共和国土地管理法》</w:t>
      </w:r>
      <w:r>
        <w:rPr>
          <w:rFonts w:hint="eastAsia" w:ascii="仿宋_GB2312" w:hAnsi="仿宋_GB2312" w:cs="仿宋_GB2312"/>
          <w:color w:val="auto"/>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w:t>
      </w:r>
      <w:r>
        <w:rPr>
          <w:rFonts w:hint="eastAsia" w:ascii="仿宋_GB2312" w:hAnsi="仿宋_GB2312" w:cs="仿宋_GB2312"/>
          <w:color w:val="auto"/>
          <w:kern w:val="0"/>
          <w:shd w:val="clear" w:color="auto" w:fill="FFFFFF"/>
          <w:lang w:bidi="ar"/>
        </w:rPr>
        <w:t>有关规定，拟定</w:t>
      </w:r>
      <w:r>
        <w:rPr>
          <w:rFonts w:hint="eastAsia" w:ascii="仿宋_GB2312" w:hAnsi="仿宋_GB2312" w:cs="仿宋_GB2312"/>
          <w:color w:val="auto"/>
          <w:lang w:val="en-US" w:eastAsia="zh-CN"/>
        </w:rPr>
        <w:t>广州市花都区2025年度第一百零八批次城镇建设用地（茶塘工业园规划—路建设工程〔花都大道交叉口〕）</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auto"/>
          <w:lang w:val="en-US" w:eastAsia="zh-CN"/>
        </w:rPr>
        <w:t>广州市花都区2025年度第一百零八批次城镇建设用地（茶塘工业园规划—路建设工程〔花都大道交叉口〕）</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auto"/>
          <w:sz w:val="32"/>
          <w:szCs w:val="32"/>
          <w:u w:val="none"/>
          <w:lang w:eastAsia="zh-CN"/>
        </w:rPr>
        <w:t>炭步镇茶塘村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auto"/>
          <w:spacing w:val="0"/>
          <w:kern w:val="0"/>
          <w:sz w:val="32"/>
          <w:szCs w:val="32"/>
          <w:shd w:val="clear" w:color="auto" w:fill="FFFFFF"/>
          <w:lang w:val="en-US" w:eastAsia="zh-CN" w:bidi="ar"/>
        </w:rPr>
        <w:t>2.4975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auto"/>
        </w:rPr>
        <w:t>征地双方</w:t>
      </w:r>
      <w:r>
        <w:rPr>
          <w:rFonts w:hint="eastAsia" w:ascii="仿宋_GB2312" w:hAnsi="仿宋_GB2312" w:cs="仿宋_GB2312"/>
          <w:color w:val="auto"/>
          <w:kern w:val="2"/>
          <w:highlight w:val="none"/>
          <w:shd w:val="clear" w:color="auto" w:fill="auto"/>
          <w:lang w:bidi="ar-SA"/>
        </w:rPr>
        <w:t>目前</w:t>
      </w:r>
      <w:r>
        <w:rPr>
          <w:rFonts w:hint="eastAsia" w:ascii="仿宋_GB2312" w:hAnsi="仿宋_GB2312" w:cs="仿宋_GB2312"/>
          <w:color w:val="auto"/>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default" w:ascii="Times New Roman" w:hAnsi="Times New Roman" w:cs="Times New Roman"/>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kern w:val="2"/>
          <w:shd w:val="clear" w:color="auto" w:fill="auto"/>
          <w:lang w:eastAsia="zh-CN" w:bidi="ar-SA"/>
        </w:rPr>
        <w:t>的</w:t>
      </w:r>
      <w:r>
        <w:rPr>
          <w:rFonts w:hint="default" w:ascii="Times New Roman" w:hAnsi="Times New Roman" w:cs="Times New Roman"/>
          <w:color w:val="auto"/>
          <w:kern w:val="2"/>
          <w:shd w:val="clear" w:color="auto" w:fill="auto"/>
          <w:lang w:val="en-US" w:eastAsia="zh-CN" w:bidi="ar-SA"/>
        </w:rPr>
        <w:t>16</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default" w:ascii="Times New Roman" w:hAnsi="Times New Roman" w:cs="Times New Roman"/>
          <w:color w:val="auto"/>
          <w:lang w:val="en-US" w:eastAsia="zh-CN"/>
        </w:rPr>
        <w:t>0</w:t>
      </w:r>
      <w:r>
        <w:rPr>
          <w:rFonts w:hint="eastAsia" w:ascii="仿宋_GB2312" w:hAnsi="仿宋_GB2312" w:cs="仿宋_GB2312"/>
          <w:color w:val="auto"/>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auto"/>
          <w:kern w:val="2"/>
          <w:shd w:val="clear" w:color="auto" w:fill="auto"/>
          <w:lang w:val="en-US" w:eastAsia="zh-CN" w:bidi="ar-SA"/>
        </w:rPr>
        <w:t>5.37</w:t>
      </w:r>
      <w:r>
        <w:rPr>
          <w:rFonts w:hint="eastAsia" w:ascii="仿宋_GB2312" w:hAnsi="仿宋_GB2312" w:cs="仿宋_GB2312"/>
          <w:color w:val="auto"/>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kern w:val="2"/>
          <w:shd w:val="clear" w:color="auto" w:fill="auto"/>
          <w:lang w:bidi="ar-SA"/>
        </w:rPr>
        <w:t>收缴被征地农民养老保障资金过渡户</w:t>
      </w:r>
      <w:r>
        <w:rPr>
          <w:rFonts w:hint="default" w:ascii="Times New Roman" w:hAnsi="Times New Roman" w:cs="Times New Roman"/>
          <w:color w:val="auto"/>
          <w:kern w:val="2"/>
          <w:shd w:val="clear" w:color="auto" w:fill="auto"/>
          <w:lang w:bidi="ar-SA"/>
        </w:rPr>
        <w:t>”</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黑体" w:cs="仿宋_GB2312"/>
          <w:color w:val="auto"/>
          <w:lang w:val="en-US" w:eastAsia="zh-CN"/>
        </w:rPr>
      </w:pPr>
      <w:r>
        <w:rPr>
          <w:rFonts w:hint="eastAsia" w:ascii="仿宋_GB2312" w:hAnsi="仿宋_GB2312" w:cs="仿宋_GB2312"/>
          <w:color w:val="auto"/>
          <w:lang w:eastAsia="zh-CN"/>
        </w:rPr>
        <w:t>三、征</w:t>
      </w:r>
      <w:r>
        <w:rPr>
          <w:rFonts w:hint="eastAsia" w:ascii="仿宋_GB2312" w:hAnsi="仿宋_GB2312" w:eastAsia="仿宋_GB2312" w:cs="仿宋_GB2312"/>
          <w:color w:val="auto"/>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color w:val="auto"/>
          <w:kern w:val="0"/>
          <w:shd w:val="clear" w:color="auto" w:fill="FFFFFF"/>
          <w:lang w:val="en-US" w:eastAsia="zh-CN" w:bidi="ar"/>
        </w:rPr>
        <w:t xml:space="preserve"> </w:t>
      </w:r>
      <w:r>
        <w:rPr>
          <w:rFonts w:hint="eastAsia" w:ascii="仿宋_GB2312" w:hAnsi="仿宋_GB2312" w:eastAsia="黑体" w:cs="仿宋_GB2312"/>
          <w:color w:val="auto"/>
          <w:lang w:val="en-US" w:eastAsia="zh-CN"/>
        </w:rPr>
        <w:t xml:space="preserve">   </w:t>
      </w:r>
    </w:p>
    <w:p w14:paraId="34D3D7F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default" w:ascii="Times New Roman" w:hAnsi="Times New Roman" w:cs="Times New Roman"/>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default" w:ascii="Times New Roman" w:hAnsi="Times New Roman" w:cs="Times New Roman"/>
          <w:b w:val="0"/>
          <w:bCs/>
          <w:color w:val="auto"/>
          <w:lang w:eastAsia="zh-CN"/>
        </w:rPr>
        <w:t>”</w:t>
      </w:r>
      <w:r>
        <w:rPr>
          <w:rFonts w:hint="eastAsia" w:ascii="仿宋_GB2312" w:hAnsi="仿宋_GB2312" w:cs="仿宋_GB2312"/>
          <w:b w:val="0"/>
          <w:bCs/>
          <w:color w:val="auto"/>
          <w:lang w:val="en-US" w:eastAsia="zh-CN"/>
        </w:rPr>
        <w:t>和</w:t>
      </w:r>
      <w:r>
        <w:rPr>
          <w:rFonts w:hint="default" w:ascii="Times New Roman" w:hAnsi="Times New Roman" w:cs="Times New Roman"/>
          <w:b w:val="0"/>
          <w:bCs/>
          <w:color w:val="auto"/>
          <w:lang w:val="en-US" w:eastAsia="zh-CN"/>
        </w:rPr>
        <w:t>“</w:t>
      </w:r>
      <w:r>
        <w:rPr>
          <w:rFonts w:hint="eastAsia" w:ascii="仿宋_GB2312" w:hAnsi="仿宋_GB2312" w:cs="仿宋_GB2312"/>
          <w:b w:val="0"/>
          <w:bCs/>
          <w:color w:val="auto"/>
          <w:lang w:val="en-US" w:eastAsia="zh-CN"/>
        </w:rPr>
        <w:t>在项目获批后3个月内完成资金分配工作，落实参保到人</w:t>
      </w:r>
      <w:r>
        <w:rPr>
          <w:rFonts w:hint="default" w:ascii="Times New Roman" w:hAnsi="Times New Roman" w:cs="Times New Roman"/>
          <w:b w:val="0"/>
          <w:bCs/>
          <w:color w:val="auto"/>
          <w:lang w:val="en-US" w:eastAsia="zh-CN"/>
        </w:rPr>
        <w:t>”</w:t>
      </w:r>
      <w:r>
        <w:rPr>
          <w:rFonts w:hint="eastAsia" w:ascii="仿宋_GB2312" w:hAnsi="仿宋_GB2312" w:cs="仿宋_GB2312"/>
          <w:b w:val="0"/>
          <w:bCs/>
          <w:color w:val="auto"/>
          <w:lang w:val="en-US" w:eastAsia="zh-CN"/>
        </w:rPr>
        <w:t>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rPr>
          <w:color w:val="auto"/>
        </w:rP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color w:val="auto"/>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2026</w:t>
      </w:r>
      <w:r>
        <w:rPr>
          <w:rFonts w:hint="eastAsia" w:ascii="仿宋_GB2312" w:hAnsi="仿宋_GB2312" w:eastAsia="仿宋_GB2312" w:cs="仿宋_GB2312"/>
          <w:color w:val="auto"/>
          <w:sz w:val="32"/>
          <w:szCs w:val="32"/>
          <w:lang w:val="en-US" w:eastAsia="zh-CN"/>
        </w:rPr>
        <w:t>年</w:t>
      </w:r>
      <w:r>
        <w:rPr>
          <w:rFonts w:hint="eastAsia" w:ascii="仿宋_GB2312" w:hAnsi="仿宋_GB2312" w:cs="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月</w:t>
      </w:r>
      <w:r>
        <w:rPr>
          <w:rFonts w:hint="eastAsia" w:ascii="仿宋_GB2312" w:hAnsi="仿宋_GB2312" w:cs="仿宋_GB2312"/>
          <w:i w:val="0"/>
          <w:caps w:val="0"/>
          <w:color w:val="auto"/>
          <w:spacing w:val="0"/>
          <w:kern w:val="0"/>
          <w:sz w:val="32"/>
          <w:szCs w:val="32"/>
          <w:shd w:val="clear" w:color="auto" w:fill="FFFFFF"/>
          <w:lang w:val="en-US" w:eastAsia="zh-CN" w:bidi="ar"/>
        </w:rPr>
        <w:t>5</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p>
    <w:p w14:paraId="2F5CDF5F">
      <w:pPr>
        <w:rPr>
          <w:rFonts w:hint="eastAsia"/>
          <w:color w:val="auto"/>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color w:val="auto"/>
          <w:sz w:val="32"/>
          <w:szCs w:val="32"/>
        </w:rPr>
      </w:pPr>
    </w:p>
    <w:p w14:paraId="534E2BEA">
      <w:pPr>
        <w:rPr>
          <w:rFonts w:hint="eastAsia" w:ascii="黑体" w:hAnsi="黑体" w:eastAsia="黑体" w:cs="黑体"/>
          <w:color w:val="auto"/>
        </w:rPr>
      </w:pPr>
    </w:p>
    <w:p w14:paraId="345AE5B8">
      <w:pPr>
        <w:rPr>
          <w:rFonts w:hint="eastAsia" w:ascii="黑体" w:hAnsi="黑体" w:eastAsia="黑体" w:cs="黑体"/>
          <w:color w:val="auto"/>
        </w:rPr>
      </w:pPr>
    </w:p>
    <w:p w14:paraId="31FB3E74">
      <w:pPr>
        <w:rPr>
          <w:rFonts w:hint="eastAsia" w:ascii="黑体" w:hAnsi="黑体" w:eastAsia="黑体" w:cs="黑体"/>
          <w:color w:val="auto"/>
        </w:rPr>
      </w:pPr>
    </w:p>
    <w:p w14:paraId="64B84DE8">
      <w:pPr>
        <w:rPr>
          <w:rFonts w:hint="eastAsia" w:ascii="黑体" w:hAnsi="黑体" w:eastAsia="黑体" w:cs="黑体"/>
          <w:color w:val="auto"/>
        </w:rPr>
      </w:pPr>
    </w:p>
    <w:p w14:paraId="2EC22838">
      <w:pPr>
        <w:rPr>
          <w:rFonts w:hint="eastAsia" w:ascii="黑体" w:hAnsi="黑体" w:eastAsia="黑体" w:cs="黑体"/>
          <w:color w:val="auto"/>
        </w:rPr>
      </w:pPr>
    </w:p>
    <w:p w14:paraId="268C1050">
      <w:pPr>
        <w:rPr>
          <w:rFonts w:hint="eastAsia" w:ascii="黑体" w:hAnsi="黑体" w:eastAsia="黑体" w:cs="黑体"/>
          <w:color w:val="auto"/>
        </w:rPr>
      </w:pPr>
    </w:p>
    <w:p w14:paraId="100ECCE2">
      <w:pPr>
        <w:pStyle w:val="2"/>
        <w:rPr>
          <w:rFonts w:hint="eastAsia" w:ascii="黑体" w:hAnsi="黑体" w:eastAsia="黑体" w:cs="黑体"/>
          <w:color w:val="auto"/>
        </w:rPr>
      </w:pPr>
    </w:p>
    <w:p w14:paraId="0663FDFB">
      <w:pPr>
        <w:pStyle w:val="2"/>
        <w:rPr>
          <w:rFonts w:hint="eastAsia" w:ascii="黑体" w:hAnsi="黑体" w:eastAsia="黑体" w:cs="黑体"/>
          <w:color w:val="auto"/>
        </w:rPr>
      </w:pPr>
      <w:bookmarkStart w:id="0" w:name="_GoBack"/>
      <w:bookmarkEnd w:id="0"/>
    </w:p>
    <w:p w14:paraId="75445572">
      <w:pPr>
        <w:rPr>
          <w:rFonts w:hint="eastAsia" w:ascii="黑体" w:hAnsi="黑体" w:eastAsia="黑体" w:cs="黑体"/>
          <w:color w:val="auto"/>
        </w:rPr>
      </w:pPr>
    </w:p>
    <w:p w14:paraId="574BC383">
      <w:pPr>
        <w:rPr>
          <w:rFonts w:hint="default" w:ascii="黑体" w:hAnsi="黑体" w:eastAsia="黑体" w:cs="黑体"/>
          <w:color w:val="auto"/>
          <w:lang w:val="en-US" w:eastAsia="zh-CN"/>
        </w:rPr>
      </w:pPr>
      <w:r>
        <w:rPr>
          <w:rFonts w:hint="eastAsia" w:ascii="黑体" w:hAnsi="黑体" w:eastAsia="黑体" w:cs="黑体"/>
          <w:color w:val="auto"/>
        </w:rPr>
        <w:t>附</w:t>
      </w:r>
      <w:r>
        <w:rPr>
          <w:rFonts w:hint="eastAsia" w:ascii="黑体" w:hAnsi="黑体" w:eastAsia="黑体" w:cs="黑体"/>
          <w:color w:val="auto"/>
          <w:lang w:eastAsia="zh-CN"/>
        </w:rPr>
        <w:t>件</w:t>
      </w:r>
    </w:p>
    <w:p w14:paraId="5B4878F6">
      <w:pPr>
        <w:spacing w:line="600" w:lineRule="exact"/>
        <w:ind w:right="210"/>
        <w:jc w:val="center"/>
        <w:rPr>
          <w:rFonts w:eastAsia="方正小标宋简体"/>
          <w:color w:val="auto"/>
          <w:sz w:val="44"/>
          <w:szCs w:val="44"/>
        </w:rPr>
      </w:pPr>
      <w:r>
        <w:rPr>
          <w:rFonts w:hint="eastAsia" w:eastAsia="方正小标宋简体"/>
          <w:color w:val="auto"/>
          <w:sz w:val="44"/>
          <w:szCs w:val="44"/>
        </w:rPr>
        <w:t>征收土地及养老保障情况表</w:t>
      </w:r>
    </w:p>
    <w:p w14:paraId="5CCF1D26">
      <w:pPr>
        <w:spacing w:line="600" w:lineRule="exact"/>
        <w:ind w:right="770"/>
        <w:jc w:val="right"/>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widowControl/>
              <w:spacing w:line="300" w:lineRule="exact"/>
              <w:ind w:left="-38" w:leftChars="-12"/>
              <w:jc w:val="center"/>
              <w:rPr>
                <w:rFonts w:hint="eastAsia" w:ascii="仿宋_GB2312" w:hAnsi="仿宋_GB2312" w:eastAsia="仿宋_GB2312" w:cs="仿宋_GB2312"/>
                <w:color w:val="auto"/>
                <w:kern w:val="0"/>
                <w:sz w:val="24"/>
                <w:szCs w:val="24"/>
                <w:lang w:eastAsia="zh-CN"/>
              </w:rPr>
            </w:pPr>
            <w:r>
              <w:rPr>
                <w:rFonts w:hint="eastAsia" w:ascii="仿宋_GB2312" w:hAnsi="仿宋_GB2312" w:cs="仿宋_GB2312"/>
                <w:color w:val="auto"/>
                <w:kern w:val="0"/>
                <w:sz w:val="24"/>
                <w:szCs w:val="24"/>
                <w:lang w:eastAsia="zh-CN"/>
              </w:rPr>
              <w:t>茶塘镇</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茶塘村茶塘经济联合社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1.4685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3.15</w:t>
            </w:r>
          </w:p>
        </w:tc>
      </w:tr>
      <w:tr w14:paraId="191DFF6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2ADCC">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037D9E8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茶塘村茶塘第五经济合作社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7C557EE">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0.159</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EAED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9F5B267">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0.35</w:t>
            </w:r>
          </w:p>
        </w:tc>
      </w:tr>
      <w:tr w14:paraId="512E392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0A9CD56">
            <w:pPr>
              <w:widowControl/>
              <w:spacing w:line="300" w:lineRule="exact"/>
              <w:ind w:left="-38" w:leftChars="-12"/>
              <w:jc w:val="center"/>
              <w:rPr>
                <w:rFonts w:hint="eastAsia" w:ascii="仿宋_GB2312" w:hAnsi="仿宋_GB2312" w:eastAsia="仿宋_GB2312" w:cs="仿宋_GB2312"/>
                <w:color w:val="auto"/>
                <w:kern w:val="0"/>
                <w:sz w:val="24"/>
                <w:szCs w:val="24"/>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3D229C8">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茶塘村茶塘村第九经济合作社、茶塘村第十经济合作社（共有）</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21C9ABA3">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0.87</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4F92F85">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5FA691A">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1.87</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2.4975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color w:val="auto"/>
                <w:kern w:val="0"/>
                <w:sz w:val="24"/>
                <w:szCs w:val="24"/>
              </w:rPr>
            </w:pPr>
            <w:r>
              <w:rPr>
                <w:rFonts w:hint="eastAsia" w:ascii="宋体" w:hAnsi="宋体" w:eastAsia="宋体" w:cs="宋体"/>
                <w:i w:val="0"/>
                <w:iCs w:val="0"/>
                <w:color w:val="auto"/>
                <w:kern w:val="0"/>
                <w:sz w:val="22"/>
                <w:szCs w:val="22"/>
                <w:u w:val="none"/>
                <w:lang w:val="en-US" w:eastAsia="zh-CN" w:bidi="ar"/>
              </w:rPr>
              <w:t>5.37</w:t>
            </w:r>
          </w:p>
        </w:tc>
      </w:tr>
    </w:tbl>
    <w:p w14:paraId="004532A4">
      <w:pPr>
        <w:spacing w:line="320" w:lineRule="exact"/>
        <w:ind w:right="210"/>
        <w:jc w:val="left"/>
        <w:rPr>
          <w:rFonts w:hint="eastAsia"/>
          <w:color w:val="auto"/>
          <w:sz w:val="24"/>
          <w:szCs w:val="28"/>
        </w:rPr>
      </w:pPr>
      <w:r>
        <w:rPr>
          <w:rFonts w:hint="eastAsia"/>
          <w:color w:val="auto"/>
          <w:sz w:val="24"/>
          <w:szCs w:val="28"/>
          <w:lang w:eastAsia="zh-CN"/>
        </w:rPr>
        <w:t>备注：</w:t>
      </w:r>
      <w:r>
        <w:rPr>
          <w:rFonts w:hint="eastAsia"/>
          <w:color w:val="auto"/>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Pr>
        <w:rPr>
          <w:color w:val="auto"/>
        </w:rPr>
      </w:pPr>
    </w:p>
    <w:p w14:paraId="39AE2E30">
      <w:pPr>
        <w:pStyle w:val="2"/>
        <w:rPr>
          <w:color w:val="auto"/>
        </w:rPr>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6FE66222"/>
    <w:rsid w:val="72270D40"/>
    <w:rsid w:val="72C048A2"/>
    <w:rsid w:val="7451241A"/>
    <w:rsid w:val="748706FC"/>
    <w:rsid w:val="74AF1E51"/>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1234</Words>
  <Characters>1317</Characters>
  <Lines>0</Lines>
  <Paragraphs>0</Paragraphs>
  <TotalTime>19</TotalTime>
  <ScaleCrop>false</ScaleCrop>
  <LinksUpToDate>false</LinksUpToDate>
  <CharactersWithSpaces>1371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cp:lastModifiedBy>
  <cp:lastPrinted>2022-01-04T07:55:00Z</cp:lastPrinted>
  <dcterms:modified xsi:type="dcterms:W3CDTF">2026-01-14T07:20:08Z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0596A25B53104600A6FE465086F9EA59_13</vt:lpwstr>
  </property>
  <property fmtid="{D5CDD505-2E9C-101B-9397-08002B2CF9AE}" pid="4" name="KSOTemplateDocerSaveRecord">
    <vt:lpwstr>eyJoZGlkIjoiODM4NGFmNzMyMzhjMGY3YjkxZWNkM2Q0NDdhZmJkMmQiLCJ1c2VySWQiOiIzMTAyMTQ4OTYifQ==</vt:lpwstr>
  </property>
</Properties>
</file>