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sz w:val="44"/>
          <w:szCs w:val="44"/>
        </w:rPr>
        <w:t>关于</w:t>
      </w:r>
      <w:r>
        <w:rPr>
          <w:rFonts w:hint="eastAsia" w:eastAsia="方正小标宋简体" w:cs="Times New Roman"/>
          <w:color w:val="auto"/>
          <w:sz w:val="44"/>
          <w:szCs w:val="44"/>
          <w:highlight w:val="none"/>
          <w:lang w:val="en-US" w:eastAsia="zh-CN"/>
        </w:rPr>
        <w:t>永富路(天贵路-莲山路)工程</w:t>
      </w:r>
      <w:r>
        <w:rPr>
          <w:rFonts w:hint="default" w:ascii="Times New Roman" w:hAnsi="Times New Roman" w:eastAsia="方正小标宋简体" w:cs="Times New Roman"/>
          <w:color w:val="auto"/>
          <w:sz w:val="44"/>
          <w:szCs w:val="44"/>
          <w:highlight w:val="none"/>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为实施广州市花都区</w:t>
      </w:r>
      <w:r>
        <w:rPr>
          <w:rFonts w:hint="eastAsia" w:eastAsia="仿宋_GB2312" w:cs="Times New Roman"/>
          <w:color w:val="auto"/>
          <w:sz w:val="32"/>
          <w:highlight w:val="none"/>
          <w:lang w:val="en-US" w:eastAsia="zh-CN"/>
        </w:rPr>
        <w:t>花城</w:t>
      </w:r>
      <w:r>
        <w:rPr>
          <w:rFonts w:hint="default" w:ascii="Times New Roman" w:hAnsi="Times New Roman" w:eastAsia="仿宋_GB2312" w:cs="Times New Roman"/>
          <w:color w:val="auto"/>
          <w:sz w:val="32"/>
          <w:highlight w:val="none"/>
        </w:rPr>
        <w:t>街</w:t>
      </w:r>
      <w:r>
        <w:rPr>
          <w:rFonts w:hint="eastAsia" w:eastAsia="仿宋_GB2312" w:cs="Times New Roman"/>
          <w:color w:val="auto"/>
          <w:sz w:val="32"/>
          <w:highlight w:val="none"/>
          <w:lang w:val="en-US" w:eastAsia="zh-CN"/>
        </w:rPr>
        <w:t>、花山镇</w:t>
      </w:r>
      <w:r>
        <w:rPr>
          <w:rFonts w:hint="default" w:ascii="Times New Roman" w:hAnsi="Times New Roman" w:eastAsia="仿宋_GB2312" w:cs="Times New Roman"/>
          <w:color w:val="auto"/>
          <w:sz w:val="32"/>
          <w:highlight w:val="none"/>
        </w:rPr>
        <w:t>建设规划，完善城市功能，改善城市环境，促进经济、文化发展。我区拟征收广州市花都区花城街长岗村解放一经济合作社、解放二经济合作社、解放三经济合作社、茶园一经济合作社</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罗仙村经济联合社、二经济合作社、四经济合作社、五经济合作社、六经济合作社、七经济合作社、十一经济合作社、十二经济合作社、二十一经济合作社</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石岗村上升二经济合作社</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花山镇平西村第十五经济合作社属下的集体土地1.3185</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highlight w:val="none"/>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color w:val="auto"/>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highlight w:val="none"/>
        </w:rPr>
        <w:t>征收</w:t>
      </w:r>
      <w:r>
        <w:rPr>
          <w:rFonts w:hint="eastAsia" w:eastAsia="仿宋_GB2312" w:cs="Times New Roman"/>
          <w:color w:val="auto"/>
          <w:sz w:val="32"/>
          <w:szCs w:val="32"/>
          <w:highlight w:val="none"/>
          <w:lang w:val="en-US" w:eastAsia="zh-CN"/>
        </w:rPr>
        <w:t>花城</w:t>
      </w:r>
      <w:r>
        <w:rPr>
          <w:rFonts w:hint="default" w:ascii="Times New Roman" w:hAnsi="Times New Roman" w:eastAsia="仿宋_GB2312" w:cs="Times New Roman"/>
          <w:color w:val="auto"/>
          <w:sz w:val="32"/>
          <w:szCs w:val="32"/>
          <w:highlight w:val="none"/>
        </w:rPr>
        <w:t>街</w:t>
      </w:r>
      <w:r>
        <w:rPr>
          <w:rFonts w:hint="eastAsia" w:eastAsia="仿宋_GB2312" w:cs="Times New Roman"/>
          <w:color w:val="auto"/>
          <w:sz w:val="32"/>
          <w:szCs w:val="32"/>
          <w:highlight w:val="none"/>
          <w:lang w:val="en-US" w:eastAsia="zh-CN"/>
        </w:rPr>
        <w:t>长岗</w:t>
      </w:r>
      <w:r>
        <w:rPr>
          <w:rFonts w:hint="default" w:ascii="Times New Roman" w:hAnsi="Times New Roman" w:eastAsia="仿宋_GB2312" w:cs="Times New Roman"/>
          <w:color w:val="auto"/>
          <w:sz w:val="32"/>
          <w:szCs w:val="32"/>
          <w:highlight w:val="none"/>
        </w:rPr>
        <w:t>村</w:t>
      </w:r>
      <w:r>
        <w:rPr>
          <w:rFonts w:hint="default" w:ascii="Times New Roman" w:hAnsi="Times New Roman" w:eastAsia="仿宋_GB2312" w:cs="Times New Roman"/>
          <w:color w:val="auto"/>
          <w:sz w:val="32"/>
          <w:highlight w:val="none"/>
        </w:rPr>
        <w:t>集体土地面积</w:t>
      </w:r>
      <w:r>
        <w:rPr>
          <w:rFonts w:hint="eastAsia" w:eastAsia="仿宋_GB2312"/>
          <w:color w:val="auto"/>
          <w:sz w:val="32"/>
          <w:szCs w:val="32"/>
          <w:highlight w:val="none"/>
          <w:lang w:val="en-US" w:eastAsia="zh-CN"/>
        </w:rPr>
        <w:t>0.6116</w:t>
      </w:r>
      <w:r>
        <w:rPr>
          <w:rFonts w:hint="default" w:ascii="Times New Roman" w:hAnsi="Times New Roman" w:eastAsia="仿宋_GB2312" w:cs="Times New Roman"/>
          <w:color w:val="auto"/>
          <w:sz w:val="32"/>
          <w:highlight w:val="none"/>
        </w:rPr>
        <w:t>公顷，</w:t>
      </w:r>
      <w:r>
        <w:rPr>
          <w:rFonts w:hint="eastAsia" w:eastAsia="仿宋_GB2312"/>
          <w:color w:val="auto"/>
          <w:sz w:val="32"/>
          <w:szCs w:val="32"/>
          <w:highlight w:val="none"/>
        </w:rPr>
        <w:t>地类为</w:t>
      </w:r>
      <w:r>
        <w:rPr>
          <w:rFonts w:hint="eastAsia" w:eastAsia="仿宋_GB2312"/>
          <w:color w:val="auto"/>
          <w:sz w:val="32"/>
          <w:szCs w:val="32"/>
          <w:highlight w:val="none"/>
          <w:lang w:eastAsia="zh-CN"/>
        </w:rPr>
        <w:t>农用地0.5917公顷（其中耕地0.3442公顷、园地0.2241公顷、其他农用地0.02</w:t>
      </w:r>
      <w:r>
        <w:rPr>
          <w:rFonts w:hint="eastAsia" w:eastAsia="仿宋_GB2312"/>
          <w:color w:val="auto"/>
          <w:sz w:val="32"/>
          <w:szCs w:val="32"/>
          <w:highlight w:val="none"/>
          <w:lang w:val="en-US" w:eastAsia="zh-CN"/>
        </w:rPr>
        <w:t>34</w:t>
      </w:r>
      <w:r>
        <w:rPr>
          <w:rFonts w:hint="eastAsia" w:eastAsia="仿宋_GB2312"/>
          <w:color w:val="auto"/>
          <w:sz w:val="32"/>
          <w:szCs w:val="32"/>
          <w:highlight w:val="none"/>
          <w:lang w:eastAsia="zh-CN"/>
        </w:rPr>
        <w:t>公顷），建设用地0.0199公顷</w:t>
      </w:r>
      <w:r>
        <w:rPr>
          <w:rFonts w:hint="eastAsia" w:eastAsia="仿宋_GB2312" w:cs="Times New Roman"/>
          <w:color w:val="auto"/>
          <w:sz w:val="32"/>
          <w:szCs w:val="32"/>
          <w:highlight w:val="none"/>
          <w:lang w:eastAsia="zh-CN"/>
        </w:rPr>
        <w:t>；花城街罗仙村</w:t>
      </w:r>
      <w:r>
        <w:rPr>
          <w:rFonts w:hint="default" w:ascii="Times New Roman" w:hAnsi="Times New Roman" w:eastAsia="仿宋_GB2312" w:cs="Times New Roman"/>
          <w:color w:val="auto"/>
          <w:sz w:val="32"/>
          <w:highlight w:val="none"/>
        </w:rPr>
        <w:t>集体土地面积</w:t>
      </w:r>
      <w:r>
        <w:rPr>
          <w:rFonts w:hint="eastAsia" w:eastAsia="仿宋_GB2312" w:cs="Times New Roman"/>
          <w:color w:val="auto"/>
          <w:sz w:val="32"/>
          <w:szCs w:val="32"/>
          <w:highlight w:val="none"/>
          <w:lang w:val="en-US" w:eastAsia="zh-CN"/>
        </w:rPr>
        <w:t>0.3985</w:t>
      </w:r>
      <w:r>
        <w:rPr>
          <w:rFonts w:hint="default" w:ascii="Times New Roman" w:hAnsi="Times New Roman" w:eastAsia="仿宋_GB2312" w:cs="Times New Roman"/>
          <w:color w:val="auto"/>
          <w:sz w:val="32"/>
          <w:highlight w:val="none"/>
        </w:rPr>
        <w:t>公顷</w:t>
      </w:r>
      <w:r>
        <w:rPr>
          <w:rFonts w:hint="eastAsia" w:eastAsia="仿宋_GB2312" w:cs="Times New Roman"/>
          <w:color w:val="auto"/>
          <w:sz w:val="32"/>
          <w:highlight w:val="none"/>
          <w:lang w:eastAsia="zh-CN"/>
        </w:rPr>
        <w:t>，</w:t>
      </w:r>
      <w:r>
        <w:rPr>
          <w:rFonts w:hint="eastAsia" w:eastAsia="仿宋_GB2312"/>
          <w:color w:val="auto"/>
          <w:sz w:val="32"/>
          <w:szCs w:val="32"/>
          <w:highlight w:val="none"/>
        </w:rPr>
        <w:t>地类为</w:t>
      </w:r>
      <w:r>
        <w:rPr>
          <w:rFonts w:hint="eastAsia" w:eastAsia="仿宋_GB2312"/>
          <w:color w:val="auto"/>
          <w:sz w:val="32"/>
          <w:szCs w:val="32"/>
          <w:highlight w:val="none"/>
          <w:lang w:eastAsia="zh-CN"/>
        </w:rPr>
        <w:t>农用地0.3773公顷（其中耕地0.2665公顷、园地0.0284公顷、林地0.0192公顷、其他农用地0.0632公顷），建设用地0.0212公顷；花城街石岗村</w:t>
      </w:r>
      <w:r>
        <w:rPr>
          <w:rFonts w:hint="default" w:ascii="Times New Roman" w:hAnsi="Times New Roman" w:eastAsia="仿宋_GB2312" w:cs="Times New Roman"/>
          <w:color w:val="auto"/>
          <w:sz w:val="32"/>
          <w:highlight w:val="none"/>
        </w:rPr>
        <w:t>集体土地面积</w:t>
      </w:r>
      <w:r>
        <w:rPr>
          <w:rFonts w:hint="eastAsia" w:eastAsia="仿宋_GB2312" w:cs="Times New Roman"/>
          <w:color w:val="auto"/>
          <w:sz w:val="32"/>
          <w:szCs w:val="32"/>
          <w:highlight w:val="none"/>
          <w:lang w:val="en-US" w:eastAsia="zh-CN"/>
        </w:rPr>
        <w:t>0.2680</w:t>
      </w:r>
      <w:r>
        <w:rPr>
          <w:rFonts w:hint="default" w:ascii="Times New Roman" w:hAnsi="Times New Roman" w:eastAsia="仿宋_GB2312" w:cs="Times New Roman"/>
          <w:color w:val="auto"/>
          <w:sz w:val="32"/>
          <w:highlight w:val="none"/>
        </w:rPr>
        <w:t>公顷</w:t>
      </w:r>
      <w:r>
        <w:rPr>
          <w:rFonts w:hint="eastAsia" w:eastAsia="仿宋_GB2312" w:cs="Times New Roman"/>
          <w:color w:val="auto"/>
          <w:sz w:val="32"/>
          <w:highlight w:val="none"/>
          <w:lang w:eastAsia="zh-CN"/>
        </w:rPr>
        <w:t>，</w:t>
      </w:r>
      <w:r>
        <w:rPr>
          <w:rFonts w:hint="eastAsia" w:eastAsia="仿宋_GB2312"/>
          <w:color w:val="auto"/>
          <w:sz w:val="32"/>
          <w:szCs w:val="32"/>
          <w:highlight w:val="none"/>
        </w:rPr>
        <w:t>地类为</w:t>
      </w:r>
      <w:r>
        <w:rPr>
          <w:rFonts w:hint="eastAsia" w:eastAsia="仿宋_GB2312"/>
          <w:color w:val="auto"/>
          <w:sz w:val="32"/>
          <w:szCs w:val="32"/>
          <w:highlight w:val="none"/>
          <w:lang w:eastAsia="zh-CN"/>
        </w:rPr>
        <w:t>农用地0.1601公顷（其中耕地0.0035公顷、园地0.0006公顷、其它农用地0.1560公顷），建设用地0.1079公顷；花山镇平西村集体土地面积</w:t>
      </w:r>
      <w:r>
        <w:rPr>
          <w:rFonts w:hint="eastAsia" w:eastAsia="仿宋_GB2312"/>
          <w:color w:val="auto"/>
          <w:sz w:val="32"/>
          <w:szCs w:val="32"/>
          <w:highlight w:val="none"/>
          <w:lang w:val="en-US" w:eastAsia="zh-CN"/>
        </w:rPr>
        <w:t>0.0404公顷，</w:t>
      </w:r>
      <w:r>
        <w:rPr>
          <w:rFonts w:hint="eastAsia" w:eastAsia="仿宋_GB2312"/>
          <w:color w:val="auto"/>
          <w:sz w:val="32"/>
          <w:szCs w:val="32"/>
          <w:highlight w:val="none"/>
        </w:rPr>
        <w:t>地类为</w:t>
      </w:r>
      <w:r>
        <w:rPr>
          <w:rFonts w:hint="eastAsia" w:eastAsia="仿宋_GB2312"/>
          <w:color w:val="auto"/>
          <w:sz w:val="32"/>
          <w:szCs w:val="32"/>
          <w:highlight w:val="none"/>
          <w:lang w:eastAsia="zh-CN"/>
        </w:rPr>
        <w:t>农用地0.0401公顷（其中耕地0.0008公顷、园地0.0163公顷、林地0.0230公顷），建设用地0.0003公顷。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highlight w:val="none"/>
        </w:rPr>
        <w:t>（一）土地补偿费与安置补助费</w:t>
      </w:r>
    </w:p>
    <w:p>
      <w:pPr>
        <w:spacing w:line="62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土地补偿费与安置补助费一览表（一）</w:t>
      </w:r>
    </w:p>
    <w:p>
      <w:pPr>
        <w:spacing w:line="62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29"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面积</w:t>
            </w:r>
          </w:p>
        </w:tc>
        <w:tc>
          <w:tcPr>
            <w:tcW w:w="2155"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color w:val="auto"/>
                <w:sz w:val="24"/>
                <w:highlight w:val="none"/>
              </w:rPr>
            </w:pPr>
          </w:p>
        </w:tc>
        <w:tc>
          <w:tcPr>
            <w:tcW w:w="1124"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992"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6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994"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0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val="en-US" w:eastAsia="zh-CN"/>
              </w:rPr>
              <w:t>花城</w:t>
            </w:r>
            <w:r>
              <w:rPr>
                <w:rFonts w:hint="default" w:ascii="Times New Roman" w:hAnsi="Times New Roman" w:eastAsia="仿宋_GB2312" w:cs="Times New Roman"/>
                <w:color w:val="auto"/>
                <w:sz w:val="24"/>
                <w:highlight w:val="none"/>
              </w:rPr>
              <w:t>街</w:t>
            </w:r>
            <w:r>
              <w:rPr>
                <w:rFonts w:hint="eastAsia" w:eastAsia="仿宋_GB2312" w:cs="Times New Roman"/>
                <w:color w:val="auto"/>
                <w:sz w:val="24"/>
                <w:highlight w:val="none"/>
                <w:lang w:val="en-US" w:eastAsia="zh-CN"/>
              </w:rPr>
              <w:t>长岗</w:t>
            </w:r>
            <w:r>
              <w:rPr>
                <w:rFonts w:hint="eastAsia" w:eastAsia="仿宋_GB2312" w:cs="Times New Roman"/>
                <w:color w:val="auto"/>
                <w:sz w:val="24"/>
                <w:highlight w:val="none"/>
                <w:lang w:eastAsia="zh-CN"/>
              </w:rPr>
              <w:t>村解放一经济合作社、解放二经济合作社、解放三经济合作社、茶园一经济合作社</w:t>
            </w:r>
            <w:r>
              <w:rPr>
                <w:rFonts w:hint="default" w:ascii="Times New Roman" w:hAnsi="Times New Roman" w:eastAsia="仿宋_GB2312" w:cs="Times New Roman"/>
                <w:color w:val="auto"/>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耕地</w:t>
            </w: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.3442</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41.304</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41.304</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82.608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水浇地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旱地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园地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.2241</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26.892</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26.892</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53.784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林地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其他农用地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w:t>
            </w:r>
            <w:r>
              <w:rPr>
                <w:rFonts w:hint="eastAsia" w:cs="Times New Roman" w:eastAsiaTheme="minorEastAsia"/>
                <w:color w:val="auto"/>
                <w:szCs w:val="21"/>
                <w:highlight w:val="none"/>
                <w:lang w:val="en-US" w:eastAsia="zh-CN"/>
              </w:rPr>
              <w:t>.0234</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2.808</w:t>
            </w:r>
          </w:p>
        </w:tc>
        <w:tc>
          <w:tcPr>
            <w:tcW w:w="994" w:type="dxa"/>
            <w:tcBorders>
              <w:bottom w:val="single" w:color="auto" w:sz="4" w:space="0"/>
            </w:tcBorders>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2.808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0.0199</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4.776</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未利用地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6917" w:type="dxa"/>
            <w:gridSpan w:val="7"/>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eastAsia="仿宋_GB2312" w:cs="Times New Roman"/>
                <w:color w:val="auto"/>
                <w:sz w:val="24"/>
                <w:highlight w:val="none"/>
              </w:rPr>
              <w:t>土地补偿费与安置补助费合计</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146.784</w:t>
            </w:r>
          </w:p>
        </w:tc>
      </w:tr>
    </w:tbl>
    <w:p>
      <w:pPr>
        <w:spacing w:line="620" w:lineRule="exact"/>
        <w:jc w:val="center"/>
        <w:rPr>
          <w:rFonts w:hint="default" w:ascii="Times New Roman" w:hAnsi="Times New Roman" w:eastAsia="方正小标宋简体" w:cs="Times New Roman"/>
          <w:color w:val="auto"/>
          <w:sz w:val="32"/>
          <w:szCs w:val="32"/>
          <w:highlight w:val="none"/>
        </w:rPr>
      </w:pPr>
    </w:p>
    <w:p>
      <w:pPr>
        <w:spacing w:line="620" w:lineRule="exact"/>
        <w:jc w:val="center"/>
        <w:rPr>
          <w:rFonts w:hint="default" w:ascii="Times New Roman" w:hAnsi="Times New Roman" w:eastAsia="方正小标宋简体" w:cs="Times New Roman"/>
          <w:color w:val="auto"/>
          <w:sz w:val="32"/>
          <w:szCs w:val="32"/>
          <w:highlight w:val="none"/>
        </w:rPr>
      </w:pPr>
    </w:p>
    <w:p>
      <w:pPr>
        <w:spacing w:line="62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土地补偿费与安置补助费一览表（</w:t>
      </w:r>
      <w:r>
        <w:rPr>
          <w:rFonts w:hint="eastAsia" w:eastAsia="方正小标宋简体" w:cs="Times New Roman"/>
          <w:color w:val="auto"/>
          <w:sz w:val="32"/>
          <w:szCs w:val="32"/>
          <w:highlight w:val="none"/>
          <w:lang w:eastAsia="zh-CN"/>
        </w:rPr>
        <w:t>二</w:t>
      </w:r>
      <w:r>
        <w:rPr>
          <w:rFonts w:hint="default" w:ascii="Times New Roman" w:hAnsi="Times New Roman" w:eastAsia="方正小标宋简体" w:cs="Times New Roman"/>
          <w:color w:val="auto"/>
          <w:sz w:val="32"/>
          <w:szCs w:val="32"/>
          <w:highlight w:val="none"/>
        </w:rPr>
        <w:t>）</w:t>
      </w:r>
    </w:p>
    <w:p>
      <w:pPr>
        <w:spacing w:line="62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面积</w:t>
            </w:r>
          </w:p>
        </w:tc>
        <w:tc>
          <w:tcPr>
            <w:tcW w:w="2155"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color w:val="auto"/>
                <w:sz w:val="24"/>
                <w:highlight w:val="none"/>
              </w:rPr>
            </w:pPr>
          </w:p>
        </w:tc>
        <w:tc>
          <w:tcPr>
            <w:tcW w:w="1124"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992"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6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994"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0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eastAsia="zh-CN"/>
              </w:rPr>
              <w:t>花城</w:t>
            </w:r>
            <w:r>
              <w:rPr>
                <w:rFonts w:hint="default" w:ascii="Times New Roman" w:hAnsi="Times New Roman" w:eastAsia="仿宋_GB2312" w:cs="Times New Roman"/>
                <w:color w:val="auto"/>
                <w:sz w:val="24"/>
                <w:highlight w:val="none"/>
              </w:rPr>
              <w:t>街</w:t>
            </w:r>
            <w:r>
              <w:rPr>
                <w:rFonts w:hint="eastAsia" w:eastAsia="仿宋_GB2312" w:cs="Times New Roman"/>
                <w:color w:val="auto"/>
                <w:sz w:val="24"/>
                <w:highlight w:val="none"/>
                <w:lang w:val="en-US" w:eastAsia="zh-CN"/>
              </w:rPr>
              <w:t>罗仙村经济联合社、二经济合作社、四经济合作社、五经济合作社、六经济合作社、七经济合作社、十一经济合作社、十二经济合作社、二十一经济合作社</w:t>
            </w:r>
            <w:r>
              <w:rPr>
                <w:rFonts w:hint="default" w:ascii="Times New Roman" w:hAnsi="Times New Roman" w:eastAsia="仿宋_GB2312" w:cs="Times New Roman"/>
                <w:color w:val="auto"/>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耕地</w:t>
            </w: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.2665</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31.98</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31.98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水浇地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旱地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园地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.0284</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3.408</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3.408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林地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.0192</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2.304</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2.304</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其他农用地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w:t>
            </w:r>
            <w:r>
              <w:rPr>
                <w:rFonts w:hint="eastAsia" w:cs="Times New Roman" w:eastAsiaTheme="minorEastAsia"/>
                <w:color w:val="auto"/>
                <w:szCs w:val="21"/>
                <w:highlight w:val="none"/>
                <w:lang w:val="en-US" w:eastAsia="zh-CN"/>
              </w:rPr>
              <w:t>.0632</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7.584</w:t>
            </w:r>
          </w:p>
        </w:tc>
        <w:tc>
          <w:tcPr>
            <w:tcW w:w="994" w:type="dxa"/>
            <w:tcBorders>
              <w:bottom w:val="single" w:color="auto" w:sz="4" w:space="0"/>
            </w:tcBorders>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7.584</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0.0212</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5.088</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未利用地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6917" w:type="dxa"/>
            <w:gridSpan w:val="7"/>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eastAsia="仿宋_GB2312" w:cs="Times New Roman"/>
                <w:color w:val="auto"/>
                <w:sz w:val="24"/>
                <w:highlight w:val="none"/>
              </w:rPr>
              <w:t>土地补偿费与安置补助费合计</w:t>
            </w:r>
          </w:p>
        </w:tc>
        <w:tc>
          <w:tcPr>
            <w:tcW w:w="1409"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95.64</w:t>
            </w:r>
          </w:p>
        </w:tc>
      </w:tr>
    </w:tbl>
    <w:p>
      <w:pPr>
        <w:spacing w:line="62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土地补偿费与安置补助费一览表（</w:t>
      </w:r>
      <w:r>
        <w:rPr>
          <w:rFonts w:hint="eastAsia" w:eastAsia="方正小标宋简体" w:cs="Times New Roman"/>
          <w:color w:val="auto"/>
          <w:sz w:val="32"/>
          <w:szCs w:val="32"/>
          <w:highlight w:val="none"/>
          <w:lang w:eastAsia="zh-CN"/>
        </w:rPr>
        <w:t>三</w:t>
      </w:r>
      <w:r>
        <w:rPr>
          <w:rFonts w:hint="default" w:ascii="Times New Roman" w:hAnsi="Times New Roman" w:eastAsia="方正小标宋简体" w:cs="Times New Roman"/>
          <w:color w:val="auto"/>
          <w:sz w:val="32"/>
          <w:szCs w:val="32"/>
          <w:highlight w:val="none"/>
        </w:rPr>
        <w:t>）</w:t>
      </w:r>
    </w:p>
    <w:p>
      <w:pPr>
        <w:spacing w:line="62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面积</w:t>
            </w:r>
          </w:p>
        </w:tc>
        <w:tc>
          <w:tcPr>
            <w:tcW w:w="2155"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color w:val="auto"/>
                <w:sz w:val="24"/>
                <w:highlight w:val="none"/>
              </w:rPr>
            </w:pPr>
          </w:p>
        </w:tc>
        <w:tc>
          <w:tcPr>
            <w:tcW w:w="1124"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992"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6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994"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0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color w:val="auto"/>
                <w:sz w:val="24"/>
                <w:highlight w:val="none"/>
              </w:rPr>
            </w:pPr>
          </w:p>
          <w:p>
            <w:pPr>
              <w:widowControl/>
              <w:jc w:val="center"/>
              <w:textAlignment w:val="center"/>
              <w:rPr>
                <w:rFonts w:hint="default" w:ascii="Times New Roman" w:hAnsi="Times New Roman" w:eastAsia="仿宋_GB2312" w:cs="Times New Roman"/>
                <w:color w:val="auto"/>
                <w:sz w:val="24"/>
                <w:highlight w:val="none"/>
              </w:rPr>
            </w:pPr>
          </w:p>
          <w:p>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val="en-US" w:eastAsia="zh-CN"/>
              </w:rPr>
              <w:t>花城</w:t>
            </w:r>
            <w:r>
              <w:rPr>
                <w:rFonts w:hint="default" w:ascii="Times New Roman" w:hAnsi="Times New Roman" w:eastAsia="仿宋_GB2312" w:cs="Times New Roman"/>
                <w:color w:val="auto"/>
                <w:sz w:val="24"/>
                <w:highlight w:val="none"/>
              </w:rPr>
              <w:t xml:space="preserve">街石岗村上升二经济合作社； </w:t>
            </w:r>
          </w:p>
        </w:tc>
        <w:tc>
          <w:tcPr>
            <w:tcW w:w="567" w:type="dxa"/>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耕地</w:t>
            </w: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.0035</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0.42</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0.42</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水浇地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旱地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园地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.0006</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0.072</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0.072</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林地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其他农用地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w:t>
            </w:r>
            <w:r>
              <w:rPr>
                <w:rFonts w:hint="eastAsia" w:cs="Times New Roman" w:eastAsiaTheme="minorEastAsia"/>
                <w:color w:val="auto"/>
                <w:szCs w:val="21"/>
                <w:highlight w:val="none"/>
                <w:lang w:val="en-US" w:eastAsia="zh-CN"/>
              </w:rPr>
              <w:t>.1560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18.72</w:t>
            </w:r>
          </w:p>
        </w:tc>
        <w:tc>
          <w:tcPr>
            <w:tcW w:w="994" w:type="dxa"/>
            <w:tcBorders>
              <w:bottom w:val="single" w:color="auto" w:sz="4" w:space="0"/>
            </w:tcBorders>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18.72</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0.1079</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25.896</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未利用地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6917" w:type="dxa"/>
            <w:gridSpan w:val="7"/>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eastAsia="仿宋_GB2312" w:cs="Times New Roman"/>
                <w:color w:val="auto"/>
                <w:sz w:val="24"/>
                <w:highlight w:val="none"/>
              </w:rPr>
              <w:t>土地补偿费与安置补助费合计</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64.32</w:t>
            </w:r>
          </w:p>
        </w:tc>
      </w:tr>
    </w:tbl>
    <w:p>
      <w:pPr>
        <w:spacing w:line="62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土地补偿费与安置补助费一览表（</w:t>
      </w:r>
      <w:r>
        <w:rPr>
          <w:rFonts w:hint="eastAsia" w:eastAsia="方正小标宋简体" w:cs="Times New Roman"/>
          <w:color w:val="auto"/>
          <w:sz w:val="32"/>
          <w:szCs w:val="32"/>
          <w:highlight w:val="none"/>
          <w:lang w:eastAsia="zh-CN"/>
        </w:rPr>
        <w:t>四</w:t>
      </w:r>
      <w:r>
        <w:rPr>
          <w:rFonts w:hint="default" w:ascii="Times New Roman" w:hAnsi="Times New Roman" w:eastAsia="方正小标宋简体" w:cs="Times New Roman"/>
          <w:color w:val="auto"/>
          <w:sz w:val="32"/>
          <w:szCs w:val="32"/>
          <w:highlight w:val="none"/>
        </w:rPr>
        <w:t>）</w:t>
      </w:r>
    </w:p>
    <w:p>
      <w:pPr>
        <w:spacing w:line="620" w:lineRule="exact"/>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面积</w:t>
            </w:r>
          </w:p>
        </w:tc>
        <w:tc>
          <w:tcPr>
            <w:tcW w:w="2155"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color w:val="auto"/>
                <w:sz w:val="24"/>
                <w:highlight w:val="none"/>
              </w:rPr>
            </w:pPr>
          </w:p>
        </w:tc>
        <w:tc>
          <w:tcPr>
            <w:tcW w:w="1124"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992"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6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994"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0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eastAsia="zh-CN"/>
              </w:rPr>
              <w:t>花山镇平西村第十五经济合作社</w:t>
            </w:r>
            <w:r>
              <w:rPr>
                <w:rFonts w:hint="default" w:ascii="Times New Roman" w:hAnsi="Times New Roman" w:eastAsia="仿宋_GB2312" w:cs="Times New Roman"/>
                <w:color w:val="auto"/>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耕地</w:t>
            </w: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.0008</w:t>
            </w:r>
          </w:p>
        </w:tc>
        <w:tc>
          <w:tcPr>
            <w:tcW w:w="992"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0.078</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0.078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水浇地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旱地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园地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.0163</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1.58925</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1.58925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林地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.0230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2.2425</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2.2425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其他农用地</w:t>
            </w:r>
          </w:p>
        </w:tc>
        <w:tc>
          <w:tcPr>
            <w:tcW w:w="1124" w:type="dxa"/>
            <w:vAlign w:val="center"/>
          </w:tcPr>
          <w:p>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val="en-US" w:eastAsia="zh-CN"/>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4" w:type="dxa"/>
            <w:tcBorders>
              <w:bottom w:val="single" w:color="auto" w:sz="4" w:space="0"/>
            </w:tcBorders>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97.5</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0.0003</w:t>
            </w:r>
          </w:p>
        </w:tc>
        <w:tc>
          <w:tcPr>
            <w:tcW w:w="992"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195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0.0585</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未利用地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195</w:t>
            </w:r>
          </w:p>
        </w:tc>
        <w:tc>
          <w:tcPr>
            <w:tcW w:w="1163" w:type="dxa"/>
            <w:vAlign w:val="center"/>
          </w:tcPr>
          <w:p>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6917" w:type="dxa"/>
            <w:gridSpan w:val="7"/>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eastAsia="仿宋_GB2312" w:cs="Times New Roman"/>
                <w:color w:val="auto"/>
                <w:sz w:val="24"/>
                <w:highlight w:val="none"/>
              </w:rPr>
              <w:t>土地补偿费与安置补助费合计</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7.878</w:t>
            </w: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32"/>
          <w:szCs w:val="32"/>
          <w:highlight w:val="none"/>
        </w:rPr>
        <w:t>备注：因被征收土地的现状调查数据变化导致补偿金额调整的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auto"/>
          <w:sz w:val="32"/>
          <w:szCs w:val="32"/>
          <w:highlight w:val="none"/>
        </w:rPr>
        <w:t>《广州市人民政府办公厅关于印发广州市农民集体所有土地征收补偿试行办法的通知》（穗府办规〔2017〕10号）、《广州市花都区人民政府办公室印发花都区征地包干补偿工作方案的通知》(花府办〔2016〕12号）等有关规定</w:t>
      </w:r>
      <w:r>
        <w:rPr>
          <w:rFonts w:hint="default" w:ascii="Times New Roman" w:hAnsi="Times New Roman" w:eastAsia="仿宋_GB2312" w:cs="Times New Roman"/>
          <w:color w:val="auto"/>
          <w:sz w:val="32"/>
          <w:highlight w:val="none"/>
        </w:rPr>
        <w:t>进行补偿。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印发</w:t>
      </w:r>
      <w:r>
        <w:rPr>
          <w:rFonts w:hint="default" w:ascii="Times New Roman" w:hAnsi="Times New Roman" w:eastAsia="仿宋_GB2312" w:cs="Times New Roman"/>
          <w:color w:val="auto"/>
          <w:sz w:val="32"/>
          <w:szCs w:val="32"/>
          <w:highlight w:val="none"/>
          <w:lang w:val="en-US" w:eastAsia="zh-CN"/>
        </w:rPr>
        <w:t>广东省征收农村集体土地留用地管理办法（试行）</w:t>
      </w:r>
      <w:r>
        <w:rPr>
          <w:rFonts w:hint="eastAsia" w:ascii="Times New Roman" w:hAnsi="Times New Roman" w:eastAsia="仿宋_GB2312" w:cs="Times New Roman"/>
          <w:color w:val="auto"/>
          <w:sz w:val="32"/>
          <w:szCs w:val="32"/>
          <w:highlight w:val="none"/>
          <w:lang w:val="en-US" w:eastAsia="zh-CN"/>
        </w:rPr>
        <w:t>的通知</w:t>
      </w:r>
      <w:r>
        <w:rPr>
          <w:rFonts w:hint="default" w:ascii="Times New Roman" w:hAnsi="Times New Roman" w:eastAsia="仿宋_GB2312" w:cs="Times New Roman"/>
          <w:color w:val="auto"/>
          <w:sz w:val="32"/>
          <w:szCs w:val="32"/>
          <w:highlight w:val="none"/>
          <w:lang w:val="en-US" w:eastAsia="zh-CN"/>
        </w:rPr>
        <w:t>》（粤府办〔2009〕41号）</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color w:val="auto"/>
          <w:sz w:val="32"/>
          <w:highlight w:val="none"/>
        </w:rPr>
        <w:t>，</w:t>
      </w:r>
      <w:r>
        <w:rPr>
          <w:rFonts w:eastAsia="仿宋_GB2312"/>
          <w:color w:val="auto"/>
          <w:sz w:val="32"/>
          <w:szCs w:val="32"/>
          <w:highlight w:val="none"/>
        </w:rPr>
        <w:t>留用地按实际征收土地面</w:t>
      </w:r>
      <w:r>
        <w:rPr>
          <w:rFonts w:hint="eastAsia" w:eastAsia="仿宋_GB2312"/>
          <w:color w:val="auto"/>
          <w:sz w:val="32"/>
          <w:szCs w:val="32"/>
          <w:highlight w:val="none"/>
        </w:rPr>
        <w:t>积</w:t>
      </w:r>
      <w:r>
        <w:rPr>
          <w:rFonts w:eastAsia="仿宋_GB2312"/>
          <w:color w:val="auto"/>
          <w:sz w:val="32"/>
          <w:szCs w:val="32"/>
          <w:highlight w:val="none"/>
        </w:rPr>
        <w:t>10%计算</w:t>
      </w:r>
      <w:r>
        <w:rPr>
          <w:rFonts w:hint="eastAsia" w:ascii="仿宋_GB2312" w:eastAsia="仿宋_GB2312"/>
          <w:color w:val="auto"/>
          <w:sz w:val="32"/>
          <w:szCs w:val="32"/>
          <w:highlight w:val="none"/>
        </w:rPr>
        <w:t>安排给被征地村集体</w:t>
      </w:r>
      <w:r>
        <w:rPr>
          <w:rFonts w:hint="eastAsia" w:ascii="仿宋_GB2312" w:eastAsia="仿宋_GB2312"/>
          <w:color w:val="auto"/>
          <w:sz w:val="32"/>
          <w:szCs w:val="32"/>
          <w:highlight w:val="none"/>
          <w:lang w:eastAsia="zh-CN"/>
        </w:rPr>
        <w:t>，面积为</w:t>
      </w:r>
      <w:r>
        <w:rPr>
          <w:rFonts w:hint="default" w:ascii="Times New Roman" w:hAnsi="Times New Roman" w:eastAsia="仿宋_GB2312" w:cs="Times New Roman"/>
          <w:color w:val="auto"/>
          <w:sz w:val="32"/>
          <w:szCs w:val="32"/>
          <w:highlight w:val="none"/>
          <w:lang w:val="en-US" w:eastAsia="zh-CN"/>
        </w:rPr>
        <w:t>0.1319</w:t>
      </w:r>
      <w:r>
        <w:rPr>
          <w:rFonts w:hint="eastAsia" w:ascii="仿宋_GB2312" w:eastAsia="仿宋_GB2312"/>
          <w:color w:val="auto"/>
          <w:sz w:val="32"/>
          <w:szCs w:val="32"/>
          <w:highlight w:val="none"/>
          <w:lang w:val="en-US" w:eastAsia="zh-CN"/>
        </w:rPr>
        <w:t>公顷</w:t>
      </w:r>
      <w:r>
        <w:rPr>
          <w:rFonts w:hint="default" w:ascii="Times New Roman" w:hAnsi="Times New Roman" w:eastAsia="仿宋_GB2312" w:cs="Times New Roman"/>
          <w:color w:val="auto"/>
          <w:sz w:val="32"/>
          <w:highlight w:val="none"/>
          <w:lang w:val="en-US" w:eastAsia="zh-CN"/>
        </w:rPr>
        <w:t>，</w:t>
      </w:r>
      <w:r>
        <w:rPr>
          <w:rFonts w:hint="eastAsia" w:ascii="仿宋_GB2312" w:eastAsia="仿宋_GB2312"/>
          <w:color w:val="auto"/>
          <w:sz w:val="32"/>
          <w:szCs w:val="32"/>
          <w:highlight w:val="none"/>
        </w:rPr>
        <w:t>留用地兑现方式为实</w:t>
      </w:r>
      <w:r>
        <w:rPr>
          <w:rFonts w:hint="eastAsia" w:ascii="仿宋_GB2312" w:eastAsia="仿宋_GB2312"/>
          <w:color w:val="auto"/>
          <w:sz w:val="32"/>
          <w:szCs w:val="32"/>
          <w:highlight w:val="none"/>
          <w:lang w:eastAsia="zh-CN"/>
        </w:rPr>
        <w:t>物</w:t>
      </w:r>
      <w:r>
        <w:rPr>
          <w:rFonts w:hint="eastAsia" w:ascii="仿宋_GB2312" w:eastAsia="仿宋_GB2312"/>
          <w:color w:val="auto"/>
          <w:sz w:val="32"/>
          <w:szCs w:val="32"/>
          <w:highlight w:val="none"/>
        </w:rPr>
        <w:t>留地，</w:t>
      </w:r>
      <w:r>
        <w:rPr>
          <w:rFonts w:hint="eastAsia" w:ascii="仿宋_GB2312" w:hAnsi="仿宋_GB2312" w:eastAsia="仿宋_GB2312" w:cs="仿宋_GB2312"/>
          <w:color w:val="auto"/>
          <w:sz w:val="32"/>
          <w:szCs w:val="32"/>
          <w:highlight w:val="none"/>
          <w:lang w:val="en-US" w:eastAsia="zh-CN"/>
        </w:rPr>
        <w:t>留用地面积少于</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亩且村集体同意延后解决，与其他项目合并累计安排，在批准用地后一年内办理留用地报批手续</w:t>
      </w:r>
      <w:r>
        <w:rPr>
          <w:rFonts w:hint="eastAsia" w:eastAsia="仿宋_GB2312"/>
          <w:color w:val="auto"/>
          <w:sz w:val="32"/>
          <w:szCs w:val="32"/>
          <w:highlight w:val="none"/>
        </w:rPr>
        <w:t>；</w:t>
      </w:r>
      <w:r>
        <w:rPr>
          <w:rFonts w:hint="default" w:ascii="Times New Roman" w:hAnsi="Times New Roman" w:eastAsia="仿宋_GB2312" w:cs="Times New Roman"/>
          <w:color w:val="auto"/>
          <w:sz w:val="32"/>
          <w:highlight w:val="none"/>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2021年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日</w:t>
      </w:r>
      <w:bookmarkStart w:id="0" w:name="_GoBack"/>
      <w:bookmarkEnd w:id="0"/>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E4576A2"/>
    <w:rsid w:val="0E8E79F1"/>
    <w:rsid w:val="0F036D42"/>
    <w:rsid w:val="0F7468AC"/>
    <w:rsid w:val="175775B7"/>
    <w:rsid w:val="1AAE50AD"/>
    <w:rsid w:val="1B67425E"/>
    <w:rsid w:val="289B209A"/>
    <w:rsid w:val="29A30E59"/>
    <w:rsid w:val="3C38025F"/>
    <w:rsid w:val="3C992538"/>
    <w:rsid w:val="3F3B12E2"/>
    <w:rsid w:val="43232767"/>
    <w:rsid w:val="45296E84"/>
    <w:rsid w:val="463C5782"/>
    <w:rsid w:val="47C40AA6"/>
    <w:rsid w:val="494E5AF8"/>
    <w:rsid w:val="4B3F663F"/>
    <w:rsid w:val="4B442BE5"/>
    <w:rsid w:val="4F022724"/>
    <w:rsid w:val="53CB23A2"/>
    <w:rsid w:val="56413D0F"/>
    <w:rsid w:val="572C1E49"/>
    <w:rsid w:val="58021AF1"/>
    <w:rsid w:val="5D2B2A04"/>
    <w:rsid w:val="5F19102D"/>
    <w:rsid w:val="61582AD7"/>
    <w:rsid w:val="622845F4"/>
    <w:rsid w:val="6416249D"/>
    <w:rsid w:val="6A2503CE"/>
    <w:rsid w:val="6B3D53FB"/>
    <w:rsid w:val="6D4C5CE1"/>
    <w:rsid w:val="72EE757E"/>
    <w:rsid w:val="73C32F03"/>
    <w:rsid w:val="76C951AF"/>
    <w:rsid w:val="77E0698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7</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王晓东</cp:lastModifiedBy>
  <cp:lastPrinted>2021-09-07T03:16:00Z</cp:lastPrinted>
  <dcterms:modified xsi:type="dcterms:W3CDTF">2021-11-26T08:10:32Z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