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1D3E">
      <w:pPr>
        <w:spacing w:before="0" w:line="560" w:lineRule="exact"/>
        <w:ind w:left="0" w:right="0" w:firstLine="0"/>
        <w:jc w:val="center"/>
        <w:rPr>
          <w:rFonts w:hint="default" w:eastAsia="方正小标宋简体" w:cs="Times New Roman"/>
          <w:kern w:val="2"/>
          <w:sz w:val="44"/>
          <w:szCs w:val="44"/>
          <w:lang w:val="en-US" w:eastAsia="zh-CN"/>
        </w:rPr>
      </w:pPr>
    </w:p>
    <w:p w14:paraId="0ABA94C2">
      <w:pPr>
        <w:spacing w:before="0" w:line="560" w:lineRule="exact"/>
        <w:ind w:left="0" w:right="0" w:firstLine="0"/>
        <w:jc w:val="center"/>
        <w:rPr>
          <w:rFonts w:hint="default" w:eastAsia="方正小标宋简体" w:cs="Times New Roman"/>
          <w:kern w:val="2"/>
          <w:sz w:val="44"/>
          <w:szCs w:val="44"/>
          <w:lang w:val="en-US" w:eastAsia="zh-CN"/>
        </w:rPr>
      </w:pPr>
    </w:p>
    <w:p w14:paraId="3E9075CD">
      <w:pPr>
        <w:spacing w:before="0" w:line="560" w:lineRule="exact"/>
        <w:ind w:left="0" w:right="0" w:firstLine="0"/>
        <w:jc w:val="center"/>
        <w:rPr>
          <w:rFonts w:hint="default" w:eastAsia="方正小标宋简体" w:cs="Times New Roman"/>
          <w:kern w:val="2"/>
          <w:sz w:val="44"/>
          <w:szCs w:val="44"/>
          <w:lang w:val="en-US" w:eastAsia="zh-CN"/>
        </w:rPr>
      </w:pPr>
    </w:p>
    <w:p w14:paraId="7B72D313">
      <w:pPr>
        <w:spacing w:before="0" w:line="560" w:lineRule="exact"/>
        <w:ind w:left="0" w:right="0" w:firstLine="0"/>
        <w:jc w:val="center"/>
        <w:rPr>
          <w:rFonts w:hint="default" w:ascii="Times New Roman" w:hAnsi="Times New Roman" w:eastAsia="方正小标宋简体" w:cs="Times New Roman"/>
          <w:kern w:val="2"/>
          <w:sz w:val="44"/>
          <w:szCs w:val="44"/>
          <w:lang w:val="en-US" w:eastAsia="zh-CN"/>
        </w:rPr>
      </w:pPr>
      <w:bookmarkStart w:id="0" w:name="_GoBack"/>
      <w:bookmarkEnd w:id="0"/>
      <w:r>
        <w:rPr>
          <w:rFonts w:hint="default" w:eastAsia="方正小标宋简体" w:cs="Times New Roman"/>
          <w:kern w:val="2"/>
          <w:sz w:val="44"/>
          <w:szCs w:val="44"/>
          <w:lang w:val="en-US" w:eastAsia="zh-CN"/>
        </w:rPr>
        <w:t>广州市花都区2025年度第六十二批次城镇</w:t>
      </w:r>
    </w:p>
    <w:p w14:paraId="5AEDE3D2">
      <w:pPr>
        <w:spacing w:before="0" w:line="560" w:lineRule="exact"/>
        <w:ind w:left="0" w:right="0" w:firstLine="0"/>
        <w:jc w:val="center"/>
        <w:rPr>
          <w:rFonts w:hint="eastAsia"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建设用地（花都区农村供水</w:t>
      </w:r>
      <w:r>
        <w:rPr>
          <w:rFonts w:hint="eastAsia" w:ascii="Times New Roman" w:hAnsi="Times New Roman" w:eastAsia="方正小标宋简体" w:cs="Times New Roman"/>
          <w:kern w:val="2"/>
          <w:sz w:val="44"/>
          <w:szCs w:val="44"/>
          <w:lang w:val="en-US" w:eastAsia="zh-CN"/>
        </w:rPr>
        <w:t>“</w:t>
      </w:r>
      <w:r>
        <w:rPr>
          <w:rFonts w:hint="default" w:eastAsia="方正小标宋简体" w:cs="Times New Roman"/>
          <w:kern w:val="2"/>
          <w:sz w:val="44"/>
          <w:szCs w:val="44"/>
          <w:lang w:val="en-US" w:eastAsia="zh-CN"/>
        </w:rPr>
        <w:t>三同五化</w:t>
      </w:r>
      <w:r>
        <w:rPr>
          <w:rFonts w:hint="eastAsia" w:ascii="Times New Roman" w:hAnsi="Times New Roman" w:eastAsia="方正小标宋简体" w:cs="Times New Roman"/>
          <w:kern w:val="2"/>
          <w:sz w:val="44"/>
          <w:szCs w:val="44"/>
          <w:lang w:val="en-US" w:eastAsia="zh-CN"/>
        </w:rPr>
        <w:t>”</w:t>
      </w:r>
    </w:p>
    <w:p w14:paraId="4F600991">
      <w:pPr>
        <w:spacing w:before="0" w:line="560" w:lineRule="exact"/>
        <w:ind w:left="0" w:right="0" w:firstLine="0"/>
        <w:jc w:val="center"/>
        <w:rPr>
          <w:rFonts w:hint="default"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改造提升项目</w:t>
      </w:r>
      <w:r>
        <w:rPr>
          <w:rFonts w:hint="eastAsia" w:ascii="Times New Roman" w:hAnsi="Times New Roman" w:eastAsia="方正小标宋简体" w:cs="Times New Roman"/>
          <w:kern w:val="2"/>
          <w:sz w:val="44"/>
          <w:szCs w:val="44"/>
          <w:lang w:val="en-US" w:eastAsia="zh-CN"/>
        </w:rPr>
        <w:t>—</w:t>
      </w:r>
      <w:r>
        <w:rPr>
          <w:rFonts w:hint="default" w:eastAsia="方正小标宋简体" w:cs="Times New Roman"/>
          <w:kern w:val="2"/>
          <w:sz w:val="44"/>
          <w:szCs w:val="44"/>
          <w:lang w:val="en-US" w:eastAsia="zh-CN"/>
        </w:rPr>
        <w:t>联星村供水改造工程</w:t>
      </w:r>
    </w:p>
    <w:p w14:paraId="2C8EA882">
      <w:pPr>
        <w:spacing w:before="0" w:line="560" w:lineRule="exact"/>
        <w:ind w:left="0" w:right="0" w:firstLine="0"/>
        <w:jc w:val="center"/>
        <w:rPr>
          <w:rFonts w:hint="eastAsia" w:ascii="方正小标宋简体" w:hAnsi="方正小标宋简体" w:eastAsia="方正小标宋简体" w:cs="方正小标宋简体"/>
          <w:kern w:val="2"/>
          <w:sz w:val="44"/>
          <w:szCs w:val="44"/>
        </w:rPr>
      </w:pPr>
      <w:r>
        <w:rPr>
          <w:rFonts w:hint="default" w:eastAsia="方正小标宋简体" w:cs="Times New Roman"/>
          <w:kern w:val="2"/>
          <w:sz w:val="44"/>
          <w:szCs w:val="44"/>
          <w:lang w:val="en-US" w:eastAsia="zh-CN"/>
        </w:rPr>
        <w:t>市政部分）</w:t>
      </w:r>
      <w:r>
        <w:rPr>
          <w:rFonts w:hint="eastAsia" w:ascii="Times New Roman" w:hAnsi="Times New Roman" w:eastAsia="方正小标宋简体" w:cs="Times New Roman"/>
          <w:kern w:val="2"/>
          <w:sz w:val="44"/>
          <w:szCs w:val="44"/>
          <w:lang w:val="en-US" w:eastAsia="zh-CN"/>
        </w:rPr>
        <w:t>的</w:t>
      </w:r>
      <w:r>
        <w:rPr>
          <w:rFonts w:hint="default" w:ascii="Times New Roman" w:hAnsi="Times New Roman" w:eastAsia="方正小标宋简体" w:cs="Times New Roman"/>
          <w:kern w:val="2"/>
          <w:sz w:val="44"/>
          <w:szCs w:val="44"/>
        </w:rPr>
        <w:t>征地补偿安置方案</w:t>
      </w:r>
    </w:p>
    <w:p w14:paraId="470FBD40">
      <w:pPr>
        <w:spacing w:before="7" w:line="240" w:lineRule="auto"/>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赤坭</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赤坭</w:t>
      </w:r>
      <w:r>
        <w:rPr>
          <w:rFonts w:hint="eastAsia" w:ascii="仿宋_GB2312" w:hAnsi="仿宋_GB2312" w:eastAsia="仿宋_GB2312" w:cs="仿宋_GB2312"/>
          <w:spacing w:val="0"/>
          <w:kern w:val="2"/>
          <w:sz w:val="32"/>
          <w:szCs w:val="32"/>
        </w:rPr>
        <w:t>镇</w:t>
      </w:r>
      <w:r>
        <w:rPr>
          <w:rFonts w:hint="eastAsia" w:ascii="仿宋_GB2312" w:hAnsi="仿宋_GB2312" w:eastAsia="仿宋_GB2312" w:cs="仿宋_GB2312"/>
          <w:spacing w:val="0"/>
          <w:kern w:val="2"/>
          <w:sz w:val="32"/>
          <w:szCs w:val="32"/>
          <w:lang w:val="en-US" w:eastAsia="zh-CN"/>
        </w:rPr>
        <w:t>石坑第一</w:t>
      </w:r>
      <w:r>
        <w:rPr>
          <w:rFonts w:hint="eastAsia" w:ascii="仿宋_GB2312" w:hAnsi="仿宋_GB2312" w:eastAsia="仿宋_GB2312" w:cs="仿宋_GB2312"/>
          <w:spacing w:val="0"/>
          <w:kern w:val="2"/>
          <w:sz w:val="32"/>
          <w:szCs w:val="32"/>
          <w:lang w:eastAsia="zh-CN"/>
        </w:rPr>
        <w:t>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0.1473</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0.1473公顷。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Times New Roman" w:hAnsi="Times New Roman" w:eastAsia="仿宋_GB2312" w:cs="Times New Roman"/>
          <w:kern w:val="2"/>
          <w:sz w:val="32"/>
          <w:szCs w:val="32"/>
          <w:lang w:val="en-US" w:eastAsia="zh-CN"/>
        </w:rPr>
        <w:t>赤坭</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石坑第一</w:t>
      </w:r>
      <w:r>
        <w:rPr>
          <w:rFonts w:hint="default" w:ascii="Times New Roman" w:hAnsi="Times New Roman" w:eastAsia="仿宋_GB2312" w:cs="Times New Roman"/>
          <w:kern w:val="2"/>
          <w:sz w:val="32"/>
          <w:szCs w:val="32"/>
        </w:rPr>
        <w:t>经济合作社范围内，具体位置详见附图。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eastAsia" w:ascii="Times New Roman" w:hAnsi="Times New Roman" w:eastAsia="仿宋_GB2312" w:cs="Times New Roman"/>
          <w:kern w:val="2"/>
          <w:sz w:val="32"/>
          <w:szCs w:val="32"/>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Times New Roman" w:hAnsi="Times New Roman" w:eastAsia="仿宋_GB2312" w:cs="Times New Roman"/>
          <w:kern w:val="2"/>
          <w:sz w:val="32"/>
          <w:szCs w:val="32"/>
          <w:lang w:val="en-US" w:eastAsia="zh-CN"/>
        </w:rPr>
        <w:t>赤坭</w:t>
      </w:r>
      <w:r>
        <w:rPr>
          <w:rFonts w:hint="default" w:ascii="Times New Roman" w:hAnsi="Times New Roman" w:eastAsia="仿宋_GB2312" w:cs="Times New Roman"/>
          <w:kern w:val="2"/>
          <w:sz w:val="32"/>
          <w:szCs w:val="32"/>
        </w:rPr>
        <w:t>镇</w:t>
      </w:r>
      <w:r>
        <w:rPr>
          <w:rFonts w:hint="eastAsia" w:ascii="Times New Roman" w:hAnsi="Times New Roman" w:eastAsia="仿宋_GB2312" w:cs="Times New Roman"/>
          <w:kern w:val="2"/>
          <w:sz w:val="32"/>
          <w:szCs w:val="32"/>
          <w:lang w:val="en-US" w:eastAsia="zh-CN"/>
        </w:rPr>
        <w:t>石坑第一</w:t>
      </w:r>
      <w:r>
        <w:rPr>
          <w:rFonts w:hint="default" w:ascii="Times New Roman" w:hAnsi="Times New Roman" w:eastAsia="仿宋_GB2312" w:cs="Times New Roman"/>
          <w:kern w:val="2"/>
          <w:sz w:val="32"/>
          <w:szCs w:val="32"/>
        </w:rPr>
        <w:t>经济合作社属下的集体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0.1473</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2.2095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0.1473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2.2095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青苗补偿及其他地上附着物</w:t>
      </w:r>
      <w:r>
        <w:rPr>
          <w:rFonts w:hint="eastAsia" w:ascii="Times New Roman" w:hAnsi="Times New Roman" w:eastAsia="仿宋_GB2312" w:cs="Times New Roman"/>
          <w:color w:val="auto"/>
          <w:kern w:val="2"/>
          <w:sz w:val="32"/>
          <w:szCs w:val="32"/>
          <w:highlight w:val="none"/>
          <w:lang w:eastAsia="zh-CN"/>
        </w:rPr>
        <w:t>参照</w:t>
      </w:r>
      <w:r>
        <w:rPr>
          <w:rFonts w:hint="default" w:ascii="Times New Roman" w:hAnsi="Times New Roman" w:eastAsia="仿宋_GB2312" w:cs="Times New Roman"/>
          <w:color w:val="auto"/>
          <w:kern w:val="2"/>
          <w:sz w:val="32"/>
          <w:szCs w:val="32"/>
          <w:highlight w:val="none"/>
          <w:lang w:eastAsia="zh-CN"/>
        </w:rPr>
        <w:t>《广州市花都区人民政府办公室印发花都区片区征地包干补偿工作方案的通知》（花府办〔2016〕12号）</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color w:val="auto"/>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w:t>
      </w:r>
      <w:r>
        <w:rPr>
          <w:rFonts w:hint="default" w:ascii="Times New Roman" w:hAnsi="Times New Roman" w:eastAsia="仿宋_GB2312" w:cs="Times New Roman"/>
          <w:color w:val="auto"/>
          <w:kern w:val="2"/>
          <w:sz w:val="32"/>
          <w:szCs w:val="32"/>
          <w:u w:val="none"/>
          <w:lang w:val="en-US" w:eastAsia="zh-CN" w:bidi="ar"/>
        </w:rPr>
        <w:t>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u w:val="none"/>
          <w:lang w:val="en-US" w:eastAsia="zh-CN" w:bidi="ar"/>
        </w:rPr>
        <w:t>号</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u w:val="none"/>
          <w:lang w:val="en-US" w:eastAsia="zh-CN" w:bidi="ar"/>
        </w:rPr>
        <w:t>%</w:t>
      </w:r>
      <w:r>
        <w:rPr>
          <w:rFonts w:hint="default" w:ascii="Times New Roman" w:hAnsi="Times New Roman" w:eastAsia="仿宋_GB2312" w:cs="Times New Roman"/>
          <w:color w:val="auto"/>
          <w:kern w:val="2"/>
          <w:sz w:val="32"/>
          <w:szCs w:val="32"/>
          <w:lang w:val="en-US" w:eastAsia="zh-CN" w:bidi="ar"/>
        </w:rPr>
        <w:t>，按照</w:t>
      </w:r>
      <w:r>
        <w:rPr>
          <w:rFonts w:hint="eastAsia" w:cs="Times New Roman"/>
          <w:color w:val="auto"/>
          <w:kern w:val="2"/>
          <w:sz w:val="32"/>
          <w:szCs w:val="32"/>
          <w:highlight w:val="none"/>
          <w:lang w:val="en-US" w:eastAsia="zh-CN" w:bidi="ar"/>
        </w:rPr>
        <w:t>1310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lang w:val="en-US" w:eastAsia="zh-CN" w:bidi="ar"/>
        </w:rPr>
        <w:t>，折算货币补偿</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34" w:firstLineChars="200"/>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（三）社会保障。</w:t>
      </w:r>
      <w:r>
        <w:rPr>
          <w:rFonts w:hint="eastAsia" w:ascii="仿宋_GB2312" w:hAnsi="仿宋_GB2312" w:eastAsia="仿宋_GB2312" w:cs="仿宋_GB2312"/>
          <w:color w:val="auto"/>
          <w:kern w:val="2"/>
          <w:sz w:val="32"/>
          <w:szCs w:val="32"/>
          <w:u w:val="none"/>
        </w:rPr>
        <w:t>该项目征收</w:t>
      </w:r>
      <w:r>
        <w:rPr>
          <w:rFonts w:hint="eastAsia" w:ascii="仿宋_GB2312" w:hAnsi="仿宋_GB2312" w:eastAsia="仿宋_GB2312" w:cs="仿宋_GB2312"/>
          <w:color w:val="auto"/>
          <w:kern w:val="2"/>
          <w:sz w:val="32"/>
          <w:szCs w:val="32"/>
          <w:u w:val="none"/>
          <w:lang w:val="en-US" w:eastAsia="zh-CN"/>
        </w:rPr>
        <w:t>赤坭</w:t>
      </w:r>
      <w:r>
        <w:rPr>
          <w:rFonts w:hint="eastAsia" w:ascii="仿宋_GB2312" w:hAnsi="仿宋_GB2312" w:eastAsia="仿宋_GB2312" w:cs="仿宋_GB2312"/>
          <w:color w:val="auto"/>
          <w:kern w:val="2"/>
          <w:sz w:val="32"/>
          <w:szCs w:val="32"/>
          <w:u w:val="none"/>
        </w:rPr>
        <w:t>镇</w:t>
      </w:r>
      <w:r>
        <w:rPr>
          <w:rFonts w:hint="eastAsia" w:ascii="仿宋_GB2312" w:hAnsi="仿宋_GB2312" w:eastAsia="仿宋_GB2312" w:cs="仿宋_GB2312"/>
          <w:color w:val="auto"/>
          <w:kern w:val="2"/>
          <w:sz w:val="32"/>
          <w:szCs w:val="32"/>
          <w:u w:val="none"/>
          <w:lang w:val="en-US" w:eastAsia="zh-CN"/>
        </w:rPr>
        <w:t>石坑</w:t>
      </w:r>
      <w:r>
        <w:rPr>
          <w:rFonts w:hint="eastAsia" w:ascii="仿宋_GB2312" w:hAnsi="仿宋_GB2312" w:eastAsia="仿宋_GB2312" w:cs="仿宋_GB2312"/>
          <w:color w:val="auto"/>
          <w:kern w:val="2"/>
          <w:sz w:val="32"/>
          <w:szCs w:val="32"/>
          <w:u w:val="none"/>
        </w:rPr>
        <w:t>村土地面积共</w:t>
      </w:r>
      <w:r>
        <w:rPr>
          <w:rFonts w:hint="default" w:ascii="Times New Roman" w:hAnsi="Times New Roman" w:eastAsia="仿宋_GB2312" w:cs="Times New Roman"/>
          <w:color w:val="auto"/>
          <w:kern w:val="2"/>
          <w:sz w:val="32"/>
          <w:szCs w:val="32"/>
          <w:u w:val="none"/>
          <w:lang w:eastAsia="zh-CN"/>
        </w:rPr>
        <w:t>2</w:t>
      </w:r>
      <w:r>
        <w:rPr>
          <w:rFonts w:hint="default" w:ascii="Times New Roman" w:hAnsi="Times New Roman" w:eastAsia="仿宋_GB2312" w:cs="Times New Roman"/>
          <w:color w:val="auto"/>
          <w:kern w:val="2"/>
          <w:sz w:val="32"/>
          <w:szCs w:val="32"/>
          <w:u w:val="none"/>
          <w:lang w:val="en-US" w:eastAsia="zh-CN"/>
        </w:rPr>
        <w:t>.2095</w:t>
      </w:r>
      <w:r>
        <w:rPr>
          <w:rFonts w:hint="eastAsia" w:ascii="仿宋_GB2312" w:hAnsi="仿宋_GB2312" w:eastAsia="仿宋_GB2312" w:cs="仿宋_GB2312"/>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标准一次性计提征地社保费共4.73万元，预存入区</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仿宋_GB2312" w:hAnsi="仿宋_GB2312" w:eastAsia="仿宋_GB2312" w:cs="仿宋_GB2312"/>
          <w:kern w:val="2"/>
          <w:sz w:val="32"/>
          <w:szCs w:val="32"/>
        </w:rPr>
      </w:pPr>
    </w:p>
    <w:p w14:paraId="6C80C101">
      <w:pPr>
        <w:pStyle w:val="6"/>
        <w:spacing w:before="0" w:line="437" w:lineRule="exact"/>
        <w:ind w:left="0" w:right="260"/>
        <w:jc w:val="right"/>
        <w:rPr>
          <w:rFonts w:hint="eastAsia" w:ascii="仿宋_GB2312" w:hAnsi="仿宋_GB2312" w:eastAsia="仿宋_GB2312" w:cs="仿宋_GB2312"/>
          <w:kern w:val="2"/>
          <w:sz w:val="32"/>
          <w:szCs w:val="32"/>
        </w:rPr>
      </w:pPr>
    </w:p>
    <w:p w14:paraId="04F09EC6">
      <w:pPr>
        <w:pStyle w:val="6"/>
        <w:spacing w:before="0" w:line="437" w:lineRule="exact"/>
        <w:ind w:left="0" w:right="260"/>
        <w:jc w:val="right"/>
        <w:rPr>
          <w:rFonts w:hint="eastAsia" w:ascii="仿宋_GB2312" w:hAnsi="仿宋_GB2312" w:eastAsia="仿宋_GB2312" w:cs="仿宋_GB2312"/>
          <w:kern w:val="2"/>
          <w:sz w:val="32"/>
          <w:szCs w:val="32"/>
        </w:rPr>
      </w:pPr>
    </w:p>
    <w:p w14:paraId="2E72DDC4">
      <w:pPr>
        <w:pStyle w:val="6"/>
        <w:spacing w:before="0" w:line="437"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7</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17</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5C683E"/>
    <w:rsid w:val="04654DC4"/>
    <w:rsid w:val="0822151D"/>
    <w:rsid w:val="08682950"/>
    <w:rsid w:val="08D87341"/>
    <w:rsid w:val="0BC12118"/>
    <w:rsid w:val="0C890300"/>
    <w:rsid w:val="0D5A4B28"/>
    <w:rsid w:val="0D630F89"/>
    <w:rsid w:val="12A229C4"/>
    <w:rsid w:val="161B7A15"/>
    <w:rsid w:val="162B00EE"/>
    <w:rsid w:val="16E50DE0"/>
    <w:rsid w:val="19977D8A"/>
    <w:rsid w:val="219E39B8"/>
    <w:rsid w:val="242C1221"/>
    <w:rsid w:val="245A6A0C"/>
    <w:rsid w:val="25477C36"/>
    <w:rsid w:val="29C73F17"/>
    <w:rsid w:val="2BE439BC"/>
    <w:rsid w:val="2F2F33BB"/>
    <w:rsid w:val="33085EB0"/>
    <w:rsid w:val="34394804"/>
    <w:rsid w:val="34CC172C"/>
    <w:rsid w:val="39A42B0C"/>
    <w:rsid w:val="3B7F12F6"/>
    <w:rsid w:val="3B8E0546"/>
    <w:rsid w:val="3D4536F5"/>
    <w:rsid w:val="40AD4EC0"/>
    <w:rsid w:val="44D56A5E"/>
    <w:rsid w:val="46753A21"/>
    <w:rsid w:val="47EA5951"/>
    <w:rsid w:val="4CF26B71"/>
    <w:rsid w:val="4D1F0243"/>
    <w:rsid w:val="4FDC68BF"/>
    <w:rsid w:val="50186B3E"/>
    <w:rsid w:val="505F6CEB"/>
    <w:rsid w:val="52F94A60"/>
    <w:rsid w:val="54382FF3"/>
    <w:rsid w:val="54E02594"/>
    <w:rsid w:val="56C10604"/>
    <w:rsid w:val="5EF369C2"/>
    <w:rsid w:val="5F7D66C9"/>
    <w:rsid w:val="60ED7905"/>
    <w:rsid w:val="63714235"/>
    <w:rsid w:val="6488303F"/>
    <w:rsid w:val="64ED2421"/>
    <w:rsid w:val="664B18ED"/>
    <w:rsid w:val="671A7149"/>
    <w:rsid w:val="6DB30687"/>
    <w:rsid w:val="6F8C3791"/>
    <w:rsid w:val="708E5910"/>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1241</Words>
  <Characters>1319</Characters>
  <TotalTime>78</TotalTime>
  <ScaleCrop>false</ScaleCrop>
  <LinksUpToDate>false</LinksUpToDate>
  <CharactersWithSpaces>1367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2026-01-29T06:25:49Z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2052-12.1.0.24657</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