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eastAsia" w:ascii="方正小标宋_GBK" w:hAnsi="方正小标宋_GBK" w:eastAsia="方正小标宋_GBK" w:cs="方正小标宋_GBK"/>
          <w:bCs/>
          <w:color w:val="auto"/>
          <w:sz w:val="44"/>
          <w:szCs w:val="44"/>
        </w:rPr>
      </w:pPr>
      <w:bookmarkStart w:id="0" w:name="_GoBack"/>
      <w:bookmarkEnd w:id="0"/>
      <w:r>
        <w:rPr>
          <w:rFonts w:hint="eastAsia" w:eastAsia="仿宋_GB2312" w:cs="Times New Roman"/>
          <w:sz w:val="32"/>
          <w:szCs w:val="32"/>
          <w:highlight w:val="none"/>
          <w:lang w:val="en-US" w:eastAsia="zh-CN"/>
        </w:rPr>
        <w:t>粤府土审（02）〔2025〕288号</w:t>
      </w:r>
    </w:p>
    <w:p>
      <w:pPr>
        <w:spacing w:line="560" w:lineRule="exact"/>
        <w:jc w:val="center"/>
        <w:rPr>
          <w:rFonts w:hint="eastAsia" w:ascii="方正小标宋_GBK" w:hAnsi="方正小标宋_GBK" w:eastAsia="方正小标宋_GBK" w:cs="方正小标宋_GBK"/>
          <w:bCs/>
          <w:color w:val="auto"/>
          <w:sz w:val="44"/>
          <w:szCs w:val="44"/>
        </w:rPr>
      </w:pPr>
    </w:p>
    <w:p>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w:t>
      </w:r>
      <w:r>
        <w:rPr>
          <w:rFonts w:hint="eastAsia" w:ascii="方正小标宋_GBK" w:hAnsi="方正小标宋_GBK" w:eastAsia="方正小标宋_GBK" w:cs="方正小标宋_GBK"/>
          <w:bCs/>
          <w:color w:val="auto"/>
          <w:sz w:val="44"/>
          <w:szCs w:val="44"/>
          <w:lang w:val="en-US" w:eastAsia="zh-CN"/>
        </w:rPr>
        <w:t>5</w:t>
      </w:r>
      <w:r>
        <w:rPr>
          <w:rFonts w:hint="eastAsia" w:ascii="方正小标宋_GBK" w:hAnsi="方正小标宋_GBK" w:eastAsia="方正小标宋_GBK" w:cs="方正小标宋_GBK"/>
          <w:bCs/>
          <w:color w:val="auto"/>
          <w:sz w:val="44"/>
          <w:szCs w:val="44"/>
        </w:rPr>
        <w:t>年度</w:t>
      </w:r>
    </w:p>
    <w:p>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六十</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pPr>
        <w:widowControl/>
        <w:spacing w:line="600" w:lineRule="exact"/>
        <w:jc w:val="center"/>
        <w:textAlignment w:val="baseline"/>
        <w:rPr>
          <w:rFonts w:hint="eastAsia"/>
          <w:b/>
          <w:color w:val="auto"/>
          <w:sz w:val="32"/>
          <w:szCs w:val="32"/>
          <w:u w:val="none"/>
        </w:rPr>
      </w:pPr>
    </w:p>
    <w:p>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eastAsia="仿宋_GB2312" w:cs="Times New Roman"/>
          <w:color w:val="auto"/>
          <w:sz w:val="32"/>
          <w:szCs w:val="32"/>
          <w:highlight w:val="none"/>
          <w:u w:val="none"/>
          <w:lang w:val="en-US" w:eastAsia="zh-CN"/>
        </w:rPr>
        <w:t>2025年度第六十批次</w:t>
      </w:r>
      <w:r>
        <w:rPr>
          <w:rFonts w:hint="eastAsia" w:ascii="仿宋_GB2312" w:hAnsi="仿宋_GB2312" w:eastAsia="仿宋_GB2312" w:cs="仿宋_GB2312"/>
          <w:color w:val="auto"/>
          <w:sz w:val="32"/>
          <w:szCs w:val="32"/>
          <w:lang w:val="en-US" w:eastAsia="zh-CN"/>
        </w:rPr>
        <w:t>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124</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highlight w:val="none"/>
          <w:u w:val="none"/>
          <w:lang w:eastAsia="zh-CN"/>
        </w:rPr>
        <w:t>的有关规定</w:t>
      </w:r>
      <w:r>
        <w:rPr>
          <w:rFonts w:hint="eastAsia" w:ascii="仿宋_GB2312" w:hAnsi="仿宋_GB2312" w:eastAsia="仿宋_GB2312" w:cs="仿宋_GB2312"/>
          <w:color w:val="auto"/>
          <w:sz w:val="32"/>
          <w:szCs w:val="32"/>
          <w:u w:val="none"/>
        </w:rPr>
        <w:t>，批复如下：</w:t>
      </w:r>
    </w:p>
    <w:p>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0.5324</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新华街田美村宝田经济合作社</w:t>
      </w:r>
      <w:r>
        <w:rPr>
          <w:rFonts w:hint="eastAsia" w:ascii="Times New Roman" w:hAnsi="Times New Roman" w:eastAsia="仿宋_GB2312" w:cs="Times New Roman"/>
          <w:color w:val="auto"/>
          <w:kern w:val="2"/>
          <w:sz w:val="32"/>
          <w:szCs w:val="32"/>
          <w:highlight w:val="none"/>
          <w:u w:val="none"/>
          <w:lang w:val="en-US" w:eastAsia="zh-CN" w:bidi="ar-SA"/>
        </w:rPr>
        <w:t>属下的集体农用地</w:t>
      </w:r>
      <w:r>
        <w:rPr>
          <w:rFonts w:hint="eastAsia" w:eastAsia="仿宋_GB2312" w:cs="Times New Roman"/>
          <w:color w:val="auto"/>
          <w:kern w:val="2"/>
          <w:sz w:val="32"/>
          <w:szCs w:val="32"/>
          <w:highlight w:val="none"/>
          <w:u w:val="none"/>
          <w:lang w:val="en-US" w:eastAsia="zh-CN" w:bidi="ar-SA"/>
        </w:rPr>
        <w:t>0.5324</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eastAsia="仿宋_GB2312" w:cs="Times New Roman"/>
          <w:color w:val="auto"/>
          <w:kern w:val="2"/>
          <w:sz w:val="32"/>
          <w:szCs w:val="32"/>
          <w:highlight w:val="none"/>
          <w:u w:val="none"/>
          <w:lang w:val="en-US" w:eastAsia="zh-CN" w:bidi="ar-SA"/>
        </w:rPr>
        <w:t>其中耕地0.4041公顷</w:t>
      </w:r>
      <w:r>
        <w:rPr>
          <w:rFonts w:hint="eastAsia" w:ascii="Times New Roman" w:hAnsi="Times New Roman" w:eastAsia="仿宋_GB2312" w:cs="Times New Roman"/>
          <w:color w:val="auto"/>
          <w:kern w:val="2"/>
          <w:sz w:val="32"/>
          <w:szCs w:val="32"/>
          <w:highlight w:val="none"/>
          <w:u w:val="none"/>
          <w:lang w:val="en-US" w:eastAsia="zh-CN" w:bidi="ar-SA"/>
        </w:rPr>
        <w:t>）转为建设用地，以上合计</w:t>
      </w:r>
      <w:r>
        <w:rPr>
          <w:rFonts w:hint="eastAsia" w:eastAsia="仿宋_GB2312" w:cs="Times New Roman"/>
          <w:color w:val="auto"/>
          <w:kern w:val="2"/>
          <w:sz w:val="32"/>
          <w:szCs w:val="32"/>
          <w:highlight w:val="none"/>
          <w:u w:val="none"/>
          <w:lang w:val="en-US" w:eastAsia="zh-CN" w:bidi="ar-SA"/>
        </w:rPr>
        <w:t>0.5324</w:t>
      </w:r>
      <w:r>
        <w:rPr>
          <w:rFonts w:hint="eastAsia" w:ascii="Times New Roman" w:hAnsi="Times New Roman" w:eastAsia="仿宋_GB2312" w:cs="Times New Roman"/>
          <w:color w:val="auto"/>
          <w:kern w:val="2"/>
          <w:sz w:val="32"/>
          <w:szCs w:val="32"/>
          <w:highlight w:val="none"/>
          <w:u w:val="none"/>
          <w:lang w:val="en-US" w:eastAsia="zh-CN" w:bidi="ar-SA"/>
        </w:rPr>
        <w:t>公顷集体土地一并办理征地手续</w:t>
      </w:r>
      <w:r>
        <w:rPr>
          <w:rFonts w:hint="eastAsia" w:eastAsia="仿宋_GB2312" w:cs="Times New Roman"/>
          <w:color w:val="auto"/>
          <w:kern w:val="2"/>
          <w:sz w:val="32"/>
          <w:szCs w:val="32"/>
          <w:highlight w:val="none"/>
          <w:u w:val="none"/>
          <w:lang w:val="en-US" w:eastAsia="zh-CN" w:bidi="ar-SA"/>
        </w:rPr>
        <w:t>。</w:t>
      </w:r>
      <w:r>
        <w:rPr>
          <w:rFonts w:hint="eastAsia" w:ascii="Times New Roman" w:hAnsi="Times New Roman" w:eastAsia="仿宋_GB2312" w:cs="Times New Roman"/>
          <w:color w:val="auto"/>
          <w:kern w:val="2"/>
          <w:sz w:val="32"/>
          <w:szCs w:val="32"/>
          <w:highlight w:val="none"/>
          <w:u w:val="none"/>
          <w:lang w:val="en-US" w:eastAsia="zh-CN" w:bidi="ar-SA"/>
        </w:rPr>
        <w:t>上述批准建设用地</w:t>
      </w:r>
      <w:r>
        <w:rPr>
          <w:rFonts w:hint="eastAsia" w:eastAsia="仿宋_GB2312" w:cs="Times New Roman"/>
          <w:color w:val="auto"/>
          <w:kern w:val="2"/>
          <w:sz w:val="32"/>
          <w:szCs w:val="32"/>
          <w:highlight w:val="none"/>
          <w:u w:val="none"/>
          <w:lang w:val="en-US" w:eastAsia="zh-CN" w:bidi="ar-SA"/>
        </w:rPr>
        <w:t>0.5324</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和标准粮食产能指标（确认信息编号：440000202523112246），落实建设占用耕地耕作层土壤剥离利用。</w:t>
      </w:r>
    </w:p>
    <w:p>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三、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pPr>
        <w:widowControl/>
        <w:spacing w:line="600" w:lineRule="exact"/>
        <w:textAlignment w:val="baseline"/>
        <w:rPr>
          <w:rFonts w:hint="eastAsia" w:ascii="仿宋_GB2312" w:hAnsi="仿宋_GB2312" w:eastAsia="仿宋_GB2312" w:cs="仿宋_GB2312"/>
          <w:color w:val="auto"/>
          <w:sz w:val="32"/>
          <w:szCs w:val="32"/>
        </w:rPr>
      </w:pPr>
    </w:p>
    <w:p>
      <w:pPr>
        <w:widowControl/>
        <w:spacing w:line="600" w:lineRule="exact"/>
        <w:textAlignment w:val="baseline"/>
        <w:rPr>
          <w:rFonts w:hint="eastAsia" w:ascii="仿宋_GB2312" w:hAnsi="仿宋_GB2312" w:eastAsia="仿宋_GB2312" w:cs="仿宋_GB2312"/>
          <w:color w:val="auto"/>
          <w:sz w:val="32"/>
          <w:szCs w:val="32"/>
        </w:rPr>
      </w:pPr>
    </w:p>
    <w:p>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12</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30</w:t>
      </w:r>
      <w:r>
        <w:rPr>
          <w:rFonts w:hint="eastAsia" w:ascii="仿宋_GB2312" w:hAnsi="仿宋_GB2312" w:eastAsia="仿宋_GB2312" w:cs="仿宋_GB2312"/>
          <w:color w:val="auto"/>
          <w:sz w:val="32"/>
          <w:szCs w:val="32"/>
        </w:rPr>
        <w:t>日</w:t>
      </w: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fldChar w:fldCharType="begin"/>
    </w:r>
    <w:r>
      <w:rPr>
        <w:rStyle w:val="5"/>
      </w:rPr>
      <w:instrText xml:space="preserve">PAGE  </w:instrText>
    </w:r>
    <w: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C9920D9"/>
    <w:rsid w:val="0F7B02F4"/>
    <w:rsid w:val="109F6DD2"/>
    <w:rsid w:val="13236B26"/>
    <w:rsid w:val="15EA2560"/>
    <w:rsid w:val="16B3734B"/>
    <w:rsid w:val="26AD3E24"/>
    <w:rsid w:val="2E6F1820"/>
    <w:rsid w:val="32043682"/>
    <w:rsid w:val="33935FAE"/>
    <w:rsid w:val="3BBA7AA0"/>
    <w:rsid w:val="3E8770EB"/>
    <w:rsid w:val="407B1783"/>
    <w:rsid w:val="429C3C8E"/>
    <w:rsid w:val="44481963"/>
    <w:rsid w:val="483A73C5"/>
    <w:rsid w:val="4C9C00C8"/>
    <w:rsid w:val="4F3A3A5E"/>
    <w:rsid w:val="4F5579DC"/>
    <w:rsid w:val="4F617A2B"/>
    <w:rsid w:val="506F56B2"/>
    <w:rsid w:val="51C56C38"/>
    <w:rsid w:val="54AD5139"/>
    <w:rsid w:val="555846C7"/>
    <w:rsid w:val="56A7023F"/>
    <w:rsid w:val="58DC752E"/>
    <w:rsid w:val="59B07162"/>
    <w:rsid w:val="5D293D56"/>
    <w:rsid w:val="6D593268"/>
    <w:rsid w:val="72B14F87"/>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2026-03-05T09:32:43Z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50C58CED391548A2B10BA66E45B58CF7</vt:lpwstr>
  </property>
</Properties>
</file>