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清远清新至广州花都高速公路项目（广州段）新增用地</w:t>
      </w:r>
      <w:r>
        <w:rPr>
          <w:rFonts w:hint="eastAsia" w:ascii="方正小标宋简体" w:hAnsi="方正小标宋简体" w:eastAsia="方正小标宋简体" w:cs="方正小标宋简体"/>
          <w:color w:val="auto"/>
          <w:sz w:val="44"/>
          <w:szCs w:val="44"/>
          <w:lang w:eastAsia="zh-CN"/>
        </w:rPr>
        <w:t>项目被征地农民养老保障方案</w:t>
      </w:r>
    </w:p>
    <w:p w14:paraId="61BF5E34">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eastAsia="zh-CN" w:bidi="ar"/>
        </w:rPr>
        <w:t>、《广东省</w:t>
      </w:r>
      <w:r>
        <w:rPr>
          <w:rFonts w:hint="eastAsia" w:ascii="仿宋_GB2312" w:hAnsi="仿宋_GB2312" w:cs="仿宋_GB2312"/>
          <w:color w:val="auto"/>
          <w:kern w:val="0"/>
          <w:shd w:val="clear" w:color="auto" w:fill="FFFFFF"/>
          <w:lang w:val="en-US" w:eastAsia="zh-CN" w:bidi="ar"/>
        </w:rPr>
        <w:t>人力资源社会保障厅</w:t>
      </w:r>
      <w:r>
        <w:rPr>
          <w:rFonts w:hint="eastAsia" w:ascii="仿宋_GB2312" w:hAnsi="仿宋_GB2312" w:cs="仿宋_GB2312"/>
          <w:color w:val="auto"/>
          <w:kern w:val="0"/>
          <w:shd w:val="clear" w:color="auto" w:fill="FFFFFF"/>
          <w:lang w:eastAsia="zh-CN" w:bidi="ar"/>
        </w:rPr>
        <w:t>人社厅关于进一步做好被征地农民社会保障工作完善相关政策的通知》（粤人社规〔2025〕48号）</w:t>
      </w:r>
      <w:r>
        <w:rPr>
          <w:rFonts w:hint="eastAsia" w:ascii="仿宋_GB2312" w:hAnsi="仿宋_GB2312" w:cs="仿宋_GB2312"/>
          <w:color w:val="auto"/>
          <w:kern w:val="0"/>
          <w:shd w:val="clear" w:color="auto" w:fill="FFFFFF"/>
          <w:lang w:bidi="ar"/>
        </w:rPr>
        <w:t>和</w:t>
      </w:r>
      <w:r>
        <w:rPr>
          <w:rFonts w:hint="eastAsia" w:ascii="仿宋_GB2312" w:hAnsi="仿宋_GB2312" w:cs="仿宋_GB2312"/>
          <w:color w:val="auto"/>
          <w:kern w:val="0"/>
          <w:shd w:val="clear" w:color="auto" w:fill="FFFFFF"/>
          <w:lang w:bidi="ar"/>
        </w:rPr>
        <w:t>《广州市人民政府办公厅转发关于进一步完善我省被征地农民养老保障政策意见的通知》（穗府办规〔2022〕3号）等有关规定，拟定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清远清新至广州花都高速公路项目（广州段）新增用地</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清远清新至广州花都高速公路项目（广州段）新增用地</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赤坭镇白石村、缠岗村、荷溪村、黄沙塘村、连珠村、瑞岭村，炭步镇茶塘村、平岭头村、石湖山村、水口村、新太村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土地面积共139.3200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kern w:val="2"/>
          <w:shd w:val="clear" w:color="auto" w:fill="auto"/>
          <w:lang w:bidi="ar-SA"/>
        </w:rPr>
        <w:t>属于农村集体经济组织留用地</w:t>
      </w:r>
      <w:r>
        <w:rPr>
          <w:rFonts w:hint="eastAsia" w:ascii="仿宋_GB2312" w:hAnsi="仿宋_GB2312" w:cs="仿宋_GB2312"/>
          <w:color w:val="auto"/>
        </w:rPr>
        <w:t>，目前征地双方尚未完成征地补偿安置协议签订。</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298.24</w:t>
      </w:r>
      <w:r>
        <w:rPr>
          <w:rFonts w:hint="eastAsia" w:ascii="仿宋_GB2312" w:hAnsi="仿宋_GB2312" w:cs="仿宋_GB2312"/>
          <w:color w:val="auto"/>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29AD34A1">
      <w:pPr>
        <w:spacing w:line="560" w:lineRule="exact"/>
        <w:ind w:firstLine="640" w:firstLineChars="200"/>
        <w:rPr>
          <w:rFonts w:hint="eastAsia" w:ascii="仿宋_GB2312" w:hAnsi="仿宋_GB2312" w:cs="仿宋_GB2312"/>
          <w:b w:val="0"/>
          <w:bCs w:val="0"/>
          <w:color w:val="auto"/>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w:t>
      </w:r>
    </w:p>
    <w:p w14:paraId="678C3C6B">
      <w:pPr>
        <w:spacing w:line="560" w:lineRule="exact"/>
        <w:ind w:firstLine="640" w:firstLineChars="200"/>
        <w:rPr>
          <w:rFonts w:hint="eastAsia" w:ascii="仿宋_GB2312" w:hAnsi="仿宋_GB2312" w:cs="仿宋_GB2312"/>
          <w:color w:val="auto"/>
          <w:lang w:val="en-US" w:eastAsia="zh-CN"/>
        </w:rPr>
      </w:pP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一</w:t>
      </w:r>
      <w:r>
        <w:rPr>
          <w:rFonts w:hint="eastAsia" w:ascii="仿宋_GB2312" w:hAnsi="仿宋_GB2312" w:cs="仿宋_GB2312"/>
          <w:b w:val="0"/>
          <w:bCs/>
          <w:color w:val="auto"/>
          <w:lang w:eastAsia="zh-CN"/>
        </w:rPr>
        <w:t>）</w:t>
      </w:r>
      <w:r>
        <w:rPr>
          <w:rFonts w:ascii="仿宋_GB2312" w:hAnsi="仿宋_GB2312" w:eastAsia="仿宋_GB2312" w:cs="仿宋_GB2312"/>
          <w:b w:val="0"/>
          <w:bCs/>
          <w:color w:val="auto"/>
        </w:rPr>
        <w:t>征地社保</w:t>
      </w:r>
      <w:r>
        <w:rPr>
          <w:rFonts w:ascii="仿宋_GB2312" w:hAnsi="仿宋_GB2312" w:cs="仿宋_GB2312"/>
          <w:b w:val="0"/>
          <w:bCs/>
          <w:color w:val="auto"/>
        </w:rPr>
        <w:t>费</w:t>
      </w:r>
      <w:r>
        <w:rPr>
          <w:rFonts w:hint="eastAsia" w:ascii="仿宋_GB2312" w:hAnsi="仿宋_GB2312" w:cs="仿宋_GB2312"/>
          <w:b w:val="0"/>
          <w:bCs/>
          <w:color w:val="auto"/>
        </w:rPr>
        <w:t>专款用于被征地农民</w:t>
      </w:r>
      <w:r>
        <w:rPr>
          <w:rFonts w:hint="eastAsia" w:ascii="仿宋_GB2312" w:hAnsi="仿宋_GB2312" w:cs="仿宋_GB2312"/>
          <w:b w:val="0"/>
          <w:bCs/>
          <w:color w:val="auto"/>
          <w:lang w:val="en-US" w:eastAsia="zh-CN"/>
        </w:rPr>
        <w:t>的基本</w:t>
      </w:r>
      <w:r>
        <w:rPr>
          <w:rFonts w:hint="eastAsia" w:ascii="仿宋_GB2312" w:hAnsi="仿宋_GB2312" w:cs="仿宋_GB2312"/>
          <w:b w:val="0"/>
          <w:bCs/>
          <w:color w:val="auto"/>
        </w:rPr>
        <w:t>养老保险</w:t>
      </w:r>
      <w:r>
        <w:rPr>
          <w:rFonts w:hint="eastAsia" w:ascii="仿宋_GB2312" w:hAnsi="仿宋_GB2312" w:cs="仿宋_GB2312"/>
          <w:b w:val="0"/>
          <w:bCs/>
          <w:color w:val="auto"/>
          <w:lang w:val="en-US" w:eastAsia="zh-CN"/>
        </w:rPr>
        <w:t>缴费补贴。</w:t>
      </w:r>
    </w:p>
    <w:p w14:paraId="5319EBCD">
      <w:pPr>
        <w:spacing w:line="560" w:lineRule="exact"/>
        <w:ind w:firstLine="640" w:firstLineChars="200"/>
        <w:rPr>
          <w:rFonts w:hint="eastAsia" w:ascii="仿宋_GB2312" w:hAnsi="仿宋_GB2312" w:cs="仿宋_GB2312"/>
          <w:b w:val="0"/>
          <w:bCs/>
          <w:color w:val="auto"/>
          <w:lang w:eastAsia="zh-CN"/>
        </w:rPr>
      </w:pPr>
      <w:r>
        <w:rPr>
          <w:rFonts w:hint="eastAsia" w:ascii="仿宋_GB2312" w:hAnsi="仿宋_GB2312" w:cs="仿宋_GB2312"/>
          <w:b w:val="0"/>
          <w:bCs/>
          <w:color w:val="auto"/>
          <w:lang w:val="en-US" w:eastAsia="zh-CN"/>
        </w:rPr>
        <w:t>1、被征地农民</w:t>
      </w:r>
      <w:r>
        <w:rPr>
          <w:rFonts w:hint="eastAsia" w:ascii="仿宋_GB2312" w:hAnsi="仿宋_GB2312" w:cs="仿宋_GB2312"/>
          <w:b w:val="0"/>
          <w:bCs/>
          <w:color w:val="auto"/>
          <w:lang w:eastAsia="zh-CN"/>
        </w:rPr>
        <w:t>参加城乡居民基本养老保险的，征地社保费按规定划入社会保障基金财政专户后计入本人个人账户，合并形成新的个人账户储存额，按规定计息。</w:t>
      </w:r>
    </w:p>
    <w:p w14:paraId="40BEBECC">
      <w:pPr>
        <w:spacing w:line="560" w:lineRule="exact"/>
        <w:ind w:firstLine="640" w:firstLineChars="200"/>
        <w:rPr>
          <w:rFonts w:hint="eastAsia" w:ascii="仿宋_GB2312" w:hAnsi="仿宋_GB2312" w:cs="仿宋_GB2312"/>
          <w:b w:val="0"/>
          <w:bCs/>
          <w:color w:val="auto"/>
          <w:lang w:eastAsia="zh-CN"/>
        </w:rPr>
      </w:pPr>
      <w:r>
        <w:rPr>
          <w:rFonts w:hint="eastAsia" w:ascii="仿宋_GB2312" w:hAnsi="仿宋_GB2312" w:cs="仿宋_GB2312"/>
          <w:b w:val="0"/>
          <w:bCs/>
          <w:color w:val="auto"/>
          <w:lang w:val="en-US" w:eastAsia="zh-CN"/>
        </w:rPr>
        <w:t>2、被征地农民</w:t>
      </w:r>
      <w:r>
        <w:rPr>
          <w:rFonts w:hint="eastAsia" w:ascii="仿宋_GB2312" w:hAnsi="仿宋_GB2312" w:cs="仿宋_GB2312"/>
          <w:b w:val="0"/>
          <w:bCs/>
          <w:color w:val="auto"/>
          <w:lang w:eastAsia="zh-CN"/>
        </w:rPr>
        <w:t>已经领取城乡居民基本养老金的，将征地社保费一次性划入其个人账户，重核个人账户养老金，从次月起按新标准发放。</w:t>
      </w:r>
    </w:p>
    <w:p w14:paraId="1A72F182">
      <w:pPr>
        <w:spacing w:line="560" w:lineRule="exact"/>
        <w:ind w:firstLine="640" w:firstLineChars="200"/>
        <w:rPr>
          <w:rFonts w:hint="eastAsia" w:ascii="仿宋_GB2312" w:hAnsi="仿宋_GB2312" w:cs="仿宋_GB2312"/>
          <w:b w:val="0"/>
          <w:bCs/>
          <w:color w:val="auto"/>
          <w:lang w:eastAsia="zh-CN"/>
        </w:rPr>
      </w:pPr>
      <w:r>
        <w:rPr>
          <w:rFonts w:hint="eastAsia" w:ascii="仿宋_GB2312" w:hAnsi="仿宋_GB2312" w:cs="仿宋_GB2312"/>
          <w:b w:val="0"/>
          <w:bCs/>
          <w:color w:val="auto"/>
          <w:lang w:val="en-US" w:eastAsia="zh-CN"/>
        </w:rPr>
        <w:t>3、被征地农民</w:t>
      </w:r>
      <w:r>
        <w:rPr>
          <w:rFonts w:hint="eastAsia" w:ascii="仿宋_GB2312" w:hAnsi="仿宋_GB2312" w:cs="仿宋_GB2312"/>
          <w:b w:val="0"/>
          <w:bCs/>
          <w:color w:val="auto"/>
          <w:lang w:eastAsia="zh-CN"/>
        </w:rPr>
        <w:t>参加城镇职工基本养老保险的，可为其建立城乡居民基本养老保险个人账户，征地社保费按规定划入社会保障基金财政专户后计入本人个人账户；被征地农民也可选择将征地社保费用于补贴本人的职工养老保险个人缴费。</w:t>
      </w:r>
    </w:p>
    <w:p w14:paraId="3249BD67">
      <w:pPr>
        <w:spacing w:line="560" w:lineRule="exact"/>
        <w:ind w:firstLine="640" w:firstLineChars="200"/>
        <w:rPr>
          <w:rFonts w:hint="eastAsia" w:ascii="仿宋_GB2312" w:hAnsi="仿宋_GB2312" w:cs="仿宋_GB2312"/>
          <w:b w:val="0"/>
          <w:bCs/>
          <w:color w:val="auto"/>
          <w:lang w:eastAsia="zh-CN"/>
        </w:rPr>
      </w:pPr>
      <w:r>
        <w:rPr>
          <w:rFonts w:hint="eastAsia" w:ascii="仿宋_GB2312" w:hAnsi="仿宋_GB2312" w:cs="仿宋_GB2312"/>
          <w:b w:val="0"/>
          <w:bCs/>
          <w:color w:val="auto"/>
          <w:lang w:val="en-US" w:eastAsia="zh-CN"/>
        </w:rPr>
        <w:t>4、被征地农民</w:t>
      </w:r>
      <w:r>
        <w:rPr>
          <w:rFonts w:hint="eastAsia" w:ascii="仿宋_GB2312" w:hAnsi="仿宋_GB2312" w:cs="仿宋_GB2312"/>
          <w:b w:val="0"/>
          <w:bCs/>
          <w:color w:val="auto"/>
          <w:lang w:eastAsia="zh-CN"/>
        </w:rPr>
        <w:t>已经领取城镇职工基本养老金的，将征地社保费一次性支付本人。</w:t>
      </w:r>
    </w:p>
    <w:p w14:paraId="1AA5716F">
      <w:pPr>
        <w:spacing w:line="560" w:lineRule="exact"/>
        <w:ind w:firstLine="640" w:firstLineChars="200"/>
        <w:rPr>
          <w:rFonts w:hint="eastAsia" w:ascii="仿宋_GB2312" w:hAnsi="仿宋_GB2312" w:cs="仿宋_GB2312"/>
          <w:color w:val="auto"/>
        </w:rPr>
      </w:pPr>
      <w:r>
        <w:rPr>
          <w:rFonts w:hint="eastAsia" w:ascii="仿宋_GB2312" w:hAnsi="仿宋_GB2312" w:cs="仿宋_GB2312"/>
          <w:b w:val="0"/>
          <w:bCs w:val="0"/>
          <w:color w:val="auto"/>
          <w:lang w:val="en-US" w:eastAsia="zh-CN"/>
        </w:rPr>
        <w:t>（二）落实“</w:t>
      </w:r>
      <w:r>
        <w:rPr>
          <w:rFonts w:ascii="仿宋_GB2312" w:hAnsi="仿宋_GB2312" w:eastAsia="仿宋_GB2312" w:cs="仿宋_GB2312"/>
          <w:b w:val="0"/>
          <w:bCs w:val="0"/>
          <w:color w:val="auto"/>
        </w:rPr>
        <w:t>征地社保费与征地</w:t>
      </w:r>
      <w:r>
        <w:rPr>
          <w:rFonts w:ascii="仿宋_GB2312" w:hAnsi="仿宋_GB2312" w:eastAsia="仿宋_GB2312" w:cs="仿宋_GB2312"/>
          <w:b w:val="0"/>
          <w:bCs/>
          <w:color w:val="auto"/>
        </w:rPr>
        <w:t>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rPr>
          <w:color w:val="auto"/>
        </w:rPr>
        <w:t>社会保险经办部门</w:t>
      </w:r>
      <w:r>
        <w:rPr>
          <w:rFonts w:hint="eastAsia" w:ascii="仿宋_GB2312" w:hAnsi="仿宋_GB2312" w:cs="仿宋_GB2312"/>
          <w:color w:val="auto"/>
        </w:rPr>
        <w:t>办理社保手续。</w:t>
      </w:r>
    </w:p>
    <w:p w14:paraId="4AE61EA6">
      <w:pPr>
        <w:numPr>
          <w:ilvl w:val="0"/>
          <w:numId w:val="0"/>
        </w:numPr>
        <w:ind w:firstLine="640" w:firstLineChars="200"/>
        <w:rPr>
          <w:rFonts w:hint="eastAsia" w:ascii="仿宋_GB2312" w:hAnsi="仿宋_GB2312" w:eastAsia="仿宋_GB2312" w:cs="仿宋_GB2312"/>
          <w:color w:val="auto"/>
        </w:rPr>
      </w:pP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color w:val="auto"/>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2026</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21</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420"/>
        <w:gridCol w:w="3810"/>
        <w:gridCol w:w="1455"/>
        <w:gridCol w:w="1500"/>
        <w:gridCol w:w="1521"/>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4230"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5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20" w:type="dxa"/>
            <w:vMerge w:val="restart"/>
            <w:tcBorders>
              <w:top w:val="single" w:color="auto" w:sz="4" w:space="0"/>
              <w:right w:val="single" w:color="auto" w:sz="4" w:space="0"/>
            </w:tcBorders>
            <w:noWrap w:val="0"/>
            <w:vAlign w:val="center"/>
          </w:tcPr>
          <w:p w14:paraId="734008D5">
            <w:pPr>
              <w:widowControl/>
              <w:spacing w:line="300" w:lineRule="exact"/>
              <w:ind w:left="-38" w:leftChars="-12"/>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赤坭镇</w:t>
            </w:r>
          </w:p>
        </w:tc>
        <w:tc>
          <w:tcPr>
            <w:tcW w:w="381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widowControl/>
              <w:spacing w:line="300" w:lineRule="exact"/>
              <w:ind w:left="-38" w:leftChars="-12"/>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白石村白石第七经济合作社、白石第八经济合作社、白石第九经济合作社（共有）</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7E2311E1">
            <w:pPr>
              <w:widowControl/>
              <w:spacing w:line="300" w:lineRule="exact"/>
              <w:ind w:left="-38" w:leftChars="-12"/>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0.4635</w:t>
            </w:r>
          </w:p>
        </w:tc>
        <w:tc>
          <w:tcPr>
            <w:tcW w:w="15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widowControl/>
              <w:spacing w:line="300" w:lineRule="exact"/>
              <w:ind w:left="-38" w:leftChars="-12"/>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0</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2B8C9EDF">
            <w:pPr>
              <w:widowControl/>
              <w:spacing w:line="300" w:lineRule="exact"/>
              <w:ind w:left="-38" w:leftChars="-12"/>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w:t>
            </w:r>
          </w:p>
        </w:tc>
      </w:tr>
      <w:tr w14:paraId="58966B0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20" w:type="dxa"/>
            <w:vMerge w:val="continue"/>
            <w:tcBorders>
              <w:right w:val="single" w:color="auto" w:sz="4" w:space="0"/>
            </w:tcBorders>
            <w:noWrap w:val="0"/>
            <w:vAlign w:val="center"/>
          </w:tcPr>
          <w:p w14:paraId="5E72ADCC">
            <w:pPr>
              <w:jc w:val="center"/>
              <w:rPr>
                <w:rFonts w:hint="eastAsia" w:ascii="仿宋_GB2312" w:hAnsi="仿宋_GB2312" w:eastAsia="仿宋_GB2312" w:cs="仿宋_GB2312"/>
                <w:kern w:val="0"/>
                <w:sz w:val="24"/>
                <w:szCs w:val="24"/>
                <w:lang w:val="en-US" w:eastAsia="zh-CN" w:bidi="ar-SA"/>
              </w:rPr>
            </w:pPr>
          </w:p>
        </w:tc>
        <w:tc>
          <w:tcPr>
            <w:tcW w:w="381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35B5552">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缠岗村缠岗第一经济合作社、缠岗第三经济合作社、缠岗第五经济合作社、缠岗第七经济合作社（共有）</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3CC8FAA1">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1.2675</w:t>
            </w:r>
          </w:p>
        </w:tc>
        <w:tc>
          <w:tcPr>
            <w:tcW w:w="15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73D13CA">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0</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6AB37945">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2.72</w:t>
            </w:r>
          </w:p>
        </w:tc>
      </w:tr>
      <w:tr w14:paraId="157DFCE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20" w:type="dxa"/>
            <w:vMerge w:val="continue"/>
            <w:tcBorders>
              <w:right w:val="single" w:color="auto" w:sz="4" w:space="0"/>
            </w:tcBorders>
            <w:noWrap w:val="0"/>
            <w:vAlign w:val="center"/>
          </w:tcPr>
          <w:p w14:paraId="6BB3ABC0">
            <w:pPr>
              <w:jc w:val="center"/>
              <w:rPr>
                <w:rFonts w:hint="eastAsia" w:ascii="仿宋_GB2312" w:hAnsi="仿宋_GB2312" w:eastAsia="仿宋_GB2312" w:cs="仿宋_GB2312"/>
                <w:kern w:val="0"/>
                <w:sz w:val="24"/>
                <w:szCs w:val="24"/>
                <w:lang w:val="en-US" w:eastAsia="zh-CN" w:bidi="ar-SA"/>
              </w:rPr>
            </w:pPr>
          </w:p>
        </w:tc>
        <w:tc>
          <w:tcPr>
            <w:tcW w:w="381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E1133A5">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缠岗村缠岗经济联合社</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68D17D7C">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82.524</w:t>
            </w:r>
          </w:p>
        </w:tc>
        <w:tc>
          <w:tcPr>
            <w:tcW w:w="15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4C748F4">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0</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1F7D0869">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176.61</w:t>
            </w:r>
          </w:p>
        </w:tc>
      </w:tr>
      <w:tr w14:paraId="7AABC4D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20" w:type="dxa"/>
            <w:vMerge w:val="continue"/>
            <w:tcBorders>
              <w:right w:val="single" w:color="auto" w:sz="4" w:space="0"/>
            </w:tcBorders>
            <w:noWrap w:val="0"/>
            <w:vAlign w:val="center"/>
          </w:tcPr>
          <w:p w14:paraId="2F92F2CC">
            <w:pPr>
              <w:jc w:val="center"/>
              <w:rPr>
                <w:rFonts w:hint="eastAsia" w:ascii="仿宋_GB2312" w:hAnsi="仿宋_GB2312" w:eastAsia="仿宋_GB2312" w:cs="仿宋_GB2312"/>
                <w:kern w:val="0"/>
                <w:sz w:val="24"/>
                <w:szCs w:val="24"/>
                <w:lang w:val="en-US" w:eastAsia="zh-CN" w:bidi="ar-SA"/>
              </w:rPr>
            </w:pPr>
          </w:p>
        </w:tc>
        <w:tc>
          <w:tcPr>
            <w:tcW w:w="381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6FDD231">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荷溪村荷溪第八经济合作社</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3435E6E5">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2.349</w:t>
            </w:r>
            <w:bookmarkStart w:id="0" w:name="_GoBack"/>
            <w:bookmarkEnd w:id="0"/>
          </w:p>
        </w:tc>
        <w:tc>
          <w:tcPr>
            <w:tcW w:w="15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2CECF70">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0</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09032A76">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5.03</w:t>
            </w:r>
          </w:p>
        </w:tc>
      </w:tr>
      <w:tr w14:paraId="0F40934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20" w:type="dxa"/>
            <w:vMerge w:val="continue"/>
            <w:tcBorders>
              <w:right w:val="single" w:color="auto" w:sz="4" w:space="0"/>
            </w:tcBorders>
            <w:noWrap w:val="0"/>
            <w:vAlign w:val="center"/>
          </w:tcPr>
          <w:p w14:paraId="6F6F937C">
            <w:pPr>
              <w:jc w:val="center"/>
              <w:rPr>
                <w:rFonts w:hint="eastAsia" w:ascii="仿宋_GB2312" w:hAnsi="仿宋_GB2312" w:eastAsia="仿宋_GB2312" w:cs="仿宋_GB2312"/>
                <w:kern w:val="0"/>
                <w:sz w:val="24"/>
                <w:szCs w:val="24"/>
                <w:lang w:val="en-US" w:eastAsia="zh-CN" w:bidi="ar-SA"/>
              </w:rPr>
            </w:pPr>
          </w:p>
        </w:tc>
        <w:tc>
          <w:tcPr>
            <w:tcW w:w="381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8113A33">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黄沙塘村黄沙塘经济联合社</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27CC8DB0">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4.983</w:t>
            </w:r>
          </w:p>
        </w:tc>
        <w:tc>
          <w:tcPr>
            <w:tcW w:w="15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7148F60">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0</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774FE15D">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10.67</w:t>
            </w:r>
          </w:p>
        </w:tc>
      </w:tr>
      <w:tr w14:paraId="0E66658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20" w:type="dxa"/>
            <w:vMerge w:val="continue"/>
            <w:tcBorders>
              <w:right w:val="single" w:color="auto" w:sz="4" w:space="0"/>
            </w:tcBorders>
            <w:noWrap w:val="0"/>
            <w:vAlign w:val="center"/>
          </w:tcPr>
          <w:p w14:paraId="54E99BB9">
            <w:pPr>
              <w:jc w:val="center"/>
              <w:rPr>
                <w:rFonts w:hint="eastAsia" w:ascii="仿宋_GB2312" w:hAnsi="仿宋_GB2312" w:eastAsia="仿宋_GB2312" w:cs="仿宋_GB2312"/>
                <w:kern w:val="0"/>
                <w:sz w:val="24"/>
                <w:szCs w:val="24"/>
                <w:lang w:val="en-US" w:eastAsia="zh-CN" w:bidi="ar-SA"/>
              </w:rPr>
            </w:pPr>
          </w:p>
        </w:tc>
        <w:tc>
          <w:tcPr>
            <w:tcW w:w="381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D582E80">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连珠村连珠第二经济合作社</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68E193B7">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0.3225</w:t>
            </w:r>
          </w:p>
        </w:tc>
        <w:tc>
          <w:tcPr>
            <w:tcW w:w="15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6345736">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0</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2D8CF3C7">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0.7</w:t>
            </w:r>
          </w:p>
        </w:tc>
      </w:tr>
      <w:tr w14:paraId="189CD30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20" w:type="dxa"/>
            <w:vMerge w:val="continue"/>
            <w:tcBorders>
              <w:right w:val="single" w:color="auto" w:sz="4" w:space="0"/>
            </w:tcBorders>
            <w:noWrap w:val="0"/>
            <w:vAlign w:val="center"/>
          </w:tcPr>
          <w:p w14:paraId="56720885">
            <w:pPr>
              <w:jc w:val="center"/>
              <w:rPr>
                <w:rFonts w:hint="eastAsia" w:ascii="仿宋_GB2312" w:hAnsi="仿宋_GB2312" w:eastAsia="仿宋_GB2312" w:cs="仿宋_GB2312"/>
                <w:kern w:val="0"/>
                <w:sz w:val="24"/>
                <w:szCs w:val="24"/>
                <w:lang w:val="en-US" w:eastAsia="zh-CN" w:bidi="ar-SA"/>
              </w:rPr>
            </w:pPr>
          </w:p>
        </w:tc>
        <w:tc>
          <w:tcPr>
            <w:tcW w:w="381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644779E">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连珠村连珠第三经济合作社、连珠第六经济合作社（共有）</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7238E806">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1.2585</w:t>
            </w:r>
          </w:p>
        </w:tc>
        <w:tc>
          <w:tcPr>
            <w:tcW w:w="15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AB65585">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0</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0D7531C2">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2.7</w:t>
            </w:r>
          </w:p>
        </w:tc>
      </w:tr>
      <w:tr w14:paraId="34D572F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20" w:type="dxa"/>
            <w:vMerge w:val="continue"/>
            <w:tcBorders>
              <w:right w:val="single" w:color="auto" w:sz="4" w:space="0"/>
            </w:tcBorders>
            <w:noWrap w:val="0"/>
            <w:vAlign w:val="center"/>
          </w:tcPr>
          <w:p w14:paraId="6CE5776E">
            <w:pPr>
              <w:jc w:val="center"/>
              <w:rPr>
                <w:rFonts w:hint="eastAsia" w:ascii="仿宋_GB2312" w:hAnsi="仿宋_GB2312" w:eastAsia="仿宋_GB2312" w:cs="仿宋_GB2312"/>
                <w:kern w:val="0"/>
                <w:sz w:val="24"/>
                <w:szCs w:val="24"/>
                <w:lang w:val="en-US" w:eastAsia="zh-CN" w:bidi="ar-SA"/>
              </w:rPr>
            </w:pPr>
          </w:p>
        </w:tc>
        <w:tc>
          <w:tcPr>
            <w:tcW w:w="381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5644F3">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连珠村连珠经济联合社</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66CB8394">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0.111</w:t>
            </w:r>
          </w:p>
        </w:tc>
        <w:tc>
          <w:tcPr>
            <w:tcW w:w="15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F42CF4F">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0</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5143F3E7">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0.24</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20" w:type="dxa"/>
            <w:vMerge w:val="continue"/>
            <w:tcBorders>
              <w:bottom w:val="single" w:color="auto" w:sz="4" w:space="0"/>
              <w:right w:val="single" w:color="auto" w:sz="4" w:space="0"/>
            </w:tcBorders>
            <w:noWrap w:val="0"/>
            <w:vAlign w:val="center"/>
          </w:tcPr>
          <w:p w14:paraId="246451EF">
            <w:pPr>
              <w:jc w:val="center"/>
              <w:rPr>
                <w:rFonts w:hint="eastAsia" w:ascii="仿宋_GB2312" w:hAnsi="仿宋_GB2312" w:eastAsia="仿宋_GB2312" w:cs="仿宋_GB2312"/>
                <w:kern w:val="0"/>
                <w:sz w:val="24"/>
                <w:szCs w:val="24"/>
                <w:lang w:val="en-US" w:eastAsia="zh-CN" w:bidi="ar-SA"/>
              </w:rPr>
            </w:pPr>
          </w:p>
        </w:tc>
        <w:tc>
          <w:tcPr>
            <w:tcW w:w="381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瑞岭村瑞岭经济联合社</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57C557EE">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5.1855</w:t>
            </w:r>
          </w:p>
        </w:tc>
        <w:tc>
          <w:tcPr>
            <w:tcW w:w="15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0</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29F5B267">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11.1</w:t>
            </w:r>
          </w:p>
        </w:tc>
      </w:tr>
      <w:tr w14:paraId="512E39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20" w:type="dxa"/>
            <w:vMerge w:val="restart"/>
            <w:tcBorders>
              <w:top w:val="single" w:color="auto" w:sz="4" w:space="0"/>
              <w:bottom w:val="single" w:color="auto" w:sz="4" w:space="0"/>
              <w:right w:val="single" w:color="auto" w:sz="4" w:space="0"/>
            </w:tcBorders>
            <w:noWrap w:val="0"/>
            <w:vAlign w:val="center"/>
          </w:tcPr>
          <w:p w14:paraId="60A9CD56">
            <w:pPr>
              <w:widowControl/>
              <w:spacing w:line="300" w:lineRule="exact"/>
              <w:ind w:left="-38" w:leftChars="-12"/>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炭步镇</w:t>
            </w:r>
          </w:p>
        </w:tc>
        <w:tc>
          <w:tcPr>
            <w:tcW w:w="381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D229C8">
            <w:pPr>
              <w:widowControl/>
              <w:spacing w:line="300" w:lineRule="exact"/>
              <w:ind w:left="-38" w:leftChars="-12"/>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茶塘村茶塘第八经济合作社</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21C9ABA3">
            <w:pPr>
              <w:widowControl/>
              <w:spacing w:line="300" w:lineRule="exact"/>
              <w:ind w:left="-38" w:leftChars="-12"/>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0.543</w:t>
            </w:r>
          </w:p>
        </w:tc>
        <w:tc>
          <w:tcPr>
            <w:tcW w:w="15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F92F85">
            <w:pPr>
              <w:widowControl/>
              <w:spacing w:line="300" w:lineRule="exact"/>
              <w:ind w:left="-38" w:leftChars="-12"/>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0</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25FA691A">
            <w:pPr>
              <w:widowControl/>
              <w:spacing w:line="300" w:lineRule="exact"/>
              <w:ind w:left="-38" w:leftChars="-12"/>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1.17</w:t>
            </w:r>
          </w:p>
        </w:tc>
      </w:tr>
      <w:tr w14:paraId="1495990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20" w:type="dxa"/>
            <w:vMerge w:val="continue"/>
            <w:tcBorders>
              <w:top w:val="single" w:color="auto" w:sz="4" w:space="0"/>
              <w:bottom w:val="single" w:color="auto" w:sz="4" w:space="0"/>
              <w:right w:val="single" w:color="auto" w:sz="4" w:space="0"/>
            </w:tcBorders>
            <w:noWrap w:val="0"/>
            <w:vAlign w:val="center"/>
          </w:tcPr>
          <w:p w14:paraId="693ED54A">
            <w:pPr>
              <w:jc w:val="center"/>
              <w:rPr>
                <w:rFonts w:hint="eastAsia" w:ascii="仿宋_GB2312" w:hAnsi="仿宋_GB2312" w:eastAsia="仿宋_GB2312" w:cs="仿宋_GB2312"/>
                <w:kern w:val="0"/>
                <w:sz w:val="24"/>
                <w:szCs w:val="24"/>
                <w:lang w:val="en-US" w:eastAsia="zh-CN" w:bidi="ar-SA"/>
              </w:rPr>
            </w:pPr>
          </w:p>
        </w:tc>
        <w:tc>
          <w:tcPr>
            <w:tcW w:w="381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8BACBA1">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平岭头村平岭头经济联合社</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7795D968">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19.515</w:t>
            </w:r>
          </w:p>
        </w:tc>
        <w:tc>
          <w:tcPr>
            <w:tcW w:w="15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844804">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0</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37AB7FBB">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41.77</w:t>
            </w:r>
          </w:p>
        </w:tc>
      </w:tr>
      <w:tr w14:paraId="6582A31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20" w:type="dxa"/>
            <w:vMerge w:val="continue"/>
            <w:tcBorders>
              <w:top w:val="single" w:color="auto" w:sz="4" w:space="0"/>
              <w:bottom w:val="single" w:color="auto" w:sz="4" w:space="0"/>
              <w:right w:val="single" w:color="auto" w:sz="4" w:space="0"/>
            </w:tcBorders>
            <w:noWrap w:val="0"/>
            <w:vAlign w:val="center"/>
          </w:tcPr>
          <w:p w14:paraId="1E3EBCEC">
            <w:pPr>
              <w:jc w:val="center"/>
              <w:rPr>
                <w:rFonts w:hint="eastAsia" w:ascii="仿宋_GB2312" w:hAnsi="仿宋_GB2312" w:eastAsia="仿宋_GB2312" w:cs="仿宋_GB2312"/>
                <w:kern w:val="0"/>
                <w:sz w:val="24"/>
                <w:szCs w:val="24"/>
                <w:lang w:val="en-US" w:eastAsia="zh-CN" w:bidi="ar-SA"/>
              </w:rPr>
            </w:pPr>
          </w:p>
        </w:tc>
        <w:tc>
          <w:tcPr>
            <w:tcW w:w="381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823EF2">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石湖山村石湖山第一经济合作社、石湖山第九经济合作社（共有）</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53EF9EC4">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0.1605</w:t>
            </w:r>
          </w:p>
        </w:tc>
        <w:tc>
          <w:tcPr>
            <w:tcW w:w="15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B026A8D">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0</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7FC2A272">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0.35</w:t>
            </w:r>
          </w:p>
        </w:tc>
      </w:tr>
      <w:tr w14:paraId="24A13D5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20" w:type="dxa"/>
            <w:vMerge w:val="continue"/>
            <w:tcBorders>
              <w:top w:val="single" w:color="auto" w:sz="4" w:space="0"/>
              <w:bottom w:val="single" w:color="auto" w:sz="4" w:space="0"/>
              <w:right w:val="single" w:color="auto" w:sz="4" w:space="0"/>
            </w:tcBorders>
            <w:noWrap w:val="0"/>
            <w:vAlign w:val="center"/>
          </w:tcPr>
          <w:p w14:paraId="2730243D">
            <w:pPr>
              <w:jc w:val="center"/>
              <w:rPr>
                <w:rFonts w:hint="eastAsia" w:ascii="仿宋_GB2312" w:hAnsi="仿宋_GB2312" w:eastAsia="仿宋_GB2312" w:cs="仿宋_GB2312"/>
                <w:kern w:val="0"/>
                <w:sz w:val="24"/>
                <w:szCs w:val="24"/>
                <w:lang w:val="en-US" w:eastAsia="zh-CN" w:bidi="ar-SA"/>
              </w:rPr>
            </w:pPr>
          </w:p>
        </w:tc>
        <w:tc>
          <w:tcPr>
            <w:tcW w:w="381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B77CBD">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石湖山村石湖山经济联合社</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1C41CF54">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0.9375</w:t>
            </w:r>
          </w:p>
        </w:tc>
        <w:tc>
          <w:tcPr>
            <w:tcW w:w="15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CADE4E">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0</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0CDD0A69">
            <w:pPr>
              <w:keepNext w:val="0"/>
              <w:keepLines w:val="0"/>
              <w:widowControl/>
              <w:suppressLineNumbers w:val="0"/>
              <w:jc w:val="center"/>
              <w:textAlignment w:val="center"/>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2.01</w:t>
            </w:r>
          </w:p>
        </w:tc>
      </w:tr>
      <w:tr w14:paraId="4E2621B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20" w:type="dxa"/>
            <w:vMerge w:val="continue"/>
            <w:tcBorders>
              <w:top w:val="single" w:color="auto" w:sz="4" w:space="0"/>
              <w:bottom w:val="single" w:color="auto" w:sz="4" w:space="0"/>
              <w:right w:val="single" w:color="auto" w:sz="4" w:space="0"/>
            </w:tcBorders>
            <w:noWrap w:val="0"/>
            <w:vAlign w:val="center"/>
          </w:tcPr>
          <w:p w14:paraId="46D843C0">
            <w:pPr>
              <w:jc w:val="center"/>
              <w:rPr>
                <w:rFonts w:hint="eastAsia" w:ascii="仿宋_GB2312" w:hAnsi="仿宋_GB2312" w:eastAsia="仿宋_GB2312" w:cs="仿宋_GB2312"/>
                <w:kern w:val="0"/>
                <w:sz w:val="24"/>
                <w:szCs w:val="24"/>
                <w:lang w:val="en-US" w:eastAsia="zh-CN" w:bidi="ar-SA"/>
              </w:rPr>
            </w:pPr>
          </w:p>
        </w:tc>
        <w:tc>
          <w:tcPr>
            <w:tcW w:w="381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9E871F8">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水口村经济联合社</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2B3A6FC6">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18.75</w:t>
            </w:r>
          </w:p>
        </w:tc>
        <w:tc>
          <w:tcPr>
            <w:tcW w:w="15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9F22C2A">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0</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350BF2EE">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40.13</w:t>
            </w:r>
          </w:p>
        </w:tc>
      </w:tr>
      <w:tr w14:paraId="5D0EB37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20" w:type="dxa"/>
            <w:vMerge w:val="continue"/>
            <w:tcBorders>
              <w:top w:val="single" w:color="auto" w:sz="4" w:space="0"/>
              <w:bottom w:val="single" w:color="auto" w:sz="4" w:space="0"/>
              <w:right w:val="single" w:color="auto" w:sz="4" w:space="0"/>
            </w:tcBorders>
            <w:noWrap w:val="0"/>
            <w:vAlign w:val="center"/>
          </w:tcPr>
          <w:p w14:paraId="49A4D8E3">
            <w:pPr>
              <w:jc w:val="center"/>
              <w:rPr>
                <w:rFonts w:hint="eastAsia" w:ascii="仿宋_GB2312" w:hAnsi="仿宋_GB2312" w:eastAsia="仿宋_GB2312" w:cs="仿宋_GB2312"/>
                <w:kern w:val="0"/>
                <w:sz w:val="24"/>
                <w:szCs w:val="24"/>
                <w:lang w:val="en-US" w:eastAsia="zh-CN" w:bidi="ar-SA"/>
              </w:rPr>
            </w:pPr>
          </w:p>
        </w:tc>
        <w:tc>
          <w:tcPr>
            <w:tcW w:w="381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5DA0027">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新太村新太第一经济合作社</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28A2C342">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0.9495</w:t>
            </w:r>
          </w:p>
        </w:tc>
        <w:tc>
          <w:tcPr>
            <w:tcW w:w="15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E697E98">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0</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27B9EF9B">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2.04</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230"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7BBFCFDF">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139.32</w:t>
            </w:r>
          </w:p>
        </w:tc>
        <w:tc>
          <w:tcPr>
            <w:tcW w:w="15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511A5D1B">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298.24</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15E252F"/>
    <w:rsid w:val="23141564"/>
    <w:rsid w:val="26EF7E90"/>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EEA6AA4"/>
    <w:rsid w:val="3F6655A0"/>
    <w:rsid w:val="401160FF"/>
    <w:rsid w:val="40736F4A"/>
    <w:rsid w:val="42A07318"/>
    <w:rsid w:val="42AE5403"/>
    <w:rsid w:val="450C1F37"/>
    <w:rsid w:val="4A8B480A"/>
    <w:rsid w:val="4C363821"/>
    <w:rsid w:val="56293227"/>
    <w:rsid w:val="57B071EF"/>
    <w:rsid w:val="595E5E5B"/>
    <w:rsid w:val="5A666CB6"/>
    <w:rsid w:val="5CDD3ADE"/>
    <w:rsid w:val="5D7072F6"/>
    <w:rsid w:val="5D722B54"/>
    <w:rsid w:val="5E5D0F26"/>
    <w:rsid w:val="5FE43DCD"/>
    <w:rsid w:val="614340C8"/>
    <w:rsid w:val="64127CE3"/>
    <w:rsid w:val="64374311"/>
    <w:rsid w:val="647F43E7"/>
    <w:rsid w:val="65A9621A"/>
    <w:rsid w:val="66177D25"/>
    <w:rsid w:val="6910044C"/>
    <w:rsid w:val="69B87A02"/>
    <w:rsid w:val="72270D40"/>
    <w:rsid w:val="72C048A2"/>
    <w:rsid w:val="7451241A"/>
    <w:rsid w:val="748706FC"/>
    <w:rsid w:val="74E82A8A"/>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13</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妙滋滋(^㉨^*)</cp:lastModifiedBy>
  <cp:lastPrinted>2022-01-04T07:55:00Z</cp:lastPrinted>
  <dcterms:modified xsi:type="dcterms:W3CDTF">2026-01-21T01:21:21Z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16C639AE89FC4139BBD15884C3256917_13</vt:lpwstr>
  </property>
</Properties>
</file>