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4FC5">
      <w:pPr>
        <w:spacing w:line="6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于广州市花都区2026年度第二十二批次城镇建设用地（广州市花都区时尚智港片区二期用地）</w:t>
      </w:r>
      <w:r>
        <w:rPr>
          <w:rFonts w:hint="eastAsia" w:ascii="方正小标宋简体" w:hAnsi="方正小标宋简体" w:eastAsia="方正小标宋简体" w:cs="方正小标宋简体"/>
          <w:color w:val="auto"/>
          <w:sz w:val="44"/>
          <w:szCs w:val="44"/>
        </w:rPr>
        <w:t>被征地农民</w:t>
      </w:r>
      <w:bookmarkStart w:id="0" w:name="_GoBack"/>
      <w:bookmarkEnd w:id="0"/>
      <w:r>
        <w:rPr>
          <w:rFonts w:hint="eastAsia" w:ascii="方正小标宋简体" w:hAnsi="方正小标宋简体" w:eastAsia="方正小标宋简体" w:cs="方正小标宋简体"/>
          <w:color w:val="auto"/>
          <w:sz w:val="44"/>
          <w:szCs w:val="44"/>
        </w:rPr>
        <w:t>养老保障方案</w:t>
      </w:r>
    </w:p>
    <w:p w14:paraId="00C95060">
      <w:pPr>
        <w:pStyle w:val="2"/>
        <w:ind w:firstLine="640"/>
        <w:jc w:val="center"/>
        <w:rPr>
          <w:color w:val="auto"/>
        </w:rPr>
      </w:pPr>
      <w:r>
        <w:rPr>
          <w:rFonts w:hint="eastAsia" w:ascii="仿宋_GB2312" w:hAnsi="仿宋_GB2312" w:cs="仿宋_GB2312"/>
          <w:color w:val="auto"/>
        </w:rPr>
        <w:t>（代拟稿）</w:t>
      </w:r>
    </w:p>
    <w:p w14:paraId="015DE623">
      <w:pPr>
        <w:widowControl/>
        <w:shd w:val="clear" w:color="auto" w:fill="FFFFFF"/>
        <w:spacing w:line="540" w:lineRule="exact"/>
        <w:jc w:val="left"/>
        <w:rPr>
          <w:rFonts w:hint="eastAsia" w:ascii="仿宋_GB2312" w:hAnsi="仿宋_GB2312" w:cs="仿宋_GB2312"/>
          <w:color w:val="auto"/>
          <w:kern w:val="0"/>
          <w:shd w:val="clear" w:color="auto" w:fill="FFFFFF"/>
          <w:lang w:bidi="ar"/>
        </w:rPr>
      </w:pPr>
      <w:r>
        <w:rPr>
          <w:rFonts w:hint="eastAsia" w:ascii="仿宋_GB2312" w:hAnsi="仿宋_GB2312" w:cs="仿宋_GB2312"/>
          <w:color w:val="auto"/>
          <w:kern w:val="0"/>
          <w:shd w:val="clear" w:color="auto" w:fill="FFFFFF"/>
          <w:lang w:bidi="ar"/>
        </w:rPr>
        <w:t>                  </w:t>
      </w:r>
    </w:p>
    <w:p w14:paraId="25B2B546">
      <w:pPr>
        <w:ind w:firstLine="640" w:firstLineChars="200"/>
        <w:rPr>
          <w:rFonts w:hint="eastAsia" w:ascii="仿宋_GB2312" w:hAnsi="仿宋_GB2312" w:cs="仿宋_GB2312"/>
          <w:color w:val="auto"/>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2026年度第二十二批次城镇建设用地（广州市花都区时尚智港片区二期用地）</w:t>
      </w:r>
      <w:r>
        <w:rPr>
          <w:rFonts w:hint="eastAsia" w:ascii="仿宋_GB2312" w:hAnsi="仿宋_GB2312" w:cs="仿宋_GB2312"/>
          <w:color w:val="auto"/>
        </w:rPr>
        <w:t>被征地农民养老保障方案如下：</w:t>
      </w:r>
    </w:p>
    <w:p w14:paraId="4EBB5E75">
      <w:pPr>
        <w:ind w:firstLine="640" w:firstLineChars="200"/>
        <w:rPr>
          <w:rFonts w:hint="eastAsia" w:ascii="仿宋_GB2312" w:hAnsi="仿宋_GB2312" w:cs="仿宋_GB2312"/>
          <w:color w:val="auto"/>
        </w:rPr>
      </w:pPr>
      <w:r>
        <w:rPr>
          <w:rFonts w:hint="eastAsia" w:ascii="仿宋_GB2312" w:hAnsi="仿宋_GB2312" w:cs="仿宋_GB2312"/>
          <w:color w:val="auto"/>
        </w:rPr>
        <w:t>一、对</w:t>
      </w:r>
      <w:r>
        <w:rPr>
          <w:rFonts w:hint="eastAsia" w:ascii="仿宋_GB2312" w:hAnsi="仿宋_GB2312" w:cs="仿宋_GB2312"/>
          <w:color w:val="auto"/>
          <w:kern w:val="0"/>
          <w:shd w:val="clear" w:color="auto" w:fill="FFFFFF"/>
          <w:lang w:bidi="ar"/>
        </w:rPr>
        <w:t>广州市花都区2026年度第二十二批次城镇建设用地（广州市花都区时尚智港片区二期用地）</w:t>
      </w:r>
      <w:r>
        <w:rPr>
          <w:rFonts w:hint="eastAsia" w:ascii="仿宋_GB2312" w:hAnsi="仿宋_GB2312" w:cs="仿宋_GB2312"/>
          <w:color w:val="auto"/>
        </w:rPr>
        <w:t>项目涉及的被征地农民实施社会养老保障。</w:t>
      </w:r>
    </w:p>
    <w:p w14:paraId="77AB5D5A">
      <w:pPr>
        <w:spacing w:line="560" w:lineRule="exact"/>
        <w:ind w:firstLine="640" w:firstLineChars="200"/>
        <w:rPr>
          <w:rFonts w:hint="eastAsia" w:ascii="仿宋_GB2312" w:hAnsi="仿宋_GB2312" w:cs="仿宋_GB2312"/>
          <w:color w:val="auto"/>
        </w:rPr>
      </w:pPr>
      <w:r>
        <w:rPr>
          <w:rFonts w:hint="eastAsia"/>
          <w:color w:val="auto"/>
          <w:kern w:val="0"/>
          <w:shd w:val="clear" w:color="auto" w:fill="FFFFFF"/>
          <w:lang w:bidi="ar"/>
        </w:rPr>
        <w:t>二</w:t>
      </w:r>
      <w:r>
        <w:rPr>
          <w:color w:val="auto"/>
          <w:kern w:val="0"/>
          <w:shd w:val="clear" w:color="auto" w:fill="FFFFFF"/>
          <w:lang w:bidi="ar"/>
        </w:rPr>
        <w:t>、</w:t>
      </w:r>
      <w:r>
        <w:rPr>
          <w:rFonts w:hint="eastAsia"/>
          <w:color w:val="auto"/>
          <w:kern w:val="0"/>
          <w:shd w:val="clear" w:color="auto" w:fill="FFFFFF"/>
          <w:lang w:bidi="ar"/>
        </w:rPr>
        <w:t>征地社保费筹集</w:t>
      </w:r>
      <w:r>
        <w:rPr>
          <w:color w:val="auto"/>
          <w:kern w:val="0"/>
          <w:shd w:val="clear" w:color="auto" w:fill="FFFFFF"/>
          <w:lang w:bidi="ar"/>
        </w:rPr>
        <w:t>。</w:t>
      </w:r>
      <w:r>
        <w:rPr>
          <w:rFonts w:hint="eastAsia" w:ascii="仿宋_GB2312" w:hAnsi="仿宋_GB2312" w:cs="仿宋_GB2312"/>
          <w:color w:val="auto"/>
        </w:rPr>
        <w:t>依据市规划和自然资源局花都区分局提供情况，</w:t>
      </w:r>
      <w:r>
        <w:rPr>
          <w:rFonts w:hint="eastAsia" w:ascii="仿宋_GB2312" w:hAnsi="仿宋_GB2312" w:cs="仿宋_GB2312"/>
          <w:color w:val="auto"/>
          <w:kern w:val="0"/>
          <w:shd w:val="clear" w:color="auto" w:fill="FFFFFF"/>
          <w:lang w:bidi="ar"/>
        </w:rPr>
        <w:t>该项目征收</w:t>
      </w:r>
      <w:r>
        <w:rPr>
          <w:rFonts w:hint="eastAsia" w:ascii="仿宋_GB2312"/>
          <w:color w:val="auto"/>
        </w:rPr>
        <w:t>我区花山镇东方村、两龙村、洛场村</w:t>
      </w:r>
      <w:r>
        <w:rPr>
          <w:rFonts w:hint="eastAsia" w:ascii="仿宋_GB2312" w:hAnsi="仿宋_GB2312" w:cs="仿宋_GB2312"/>
          <w:color w:val="auto"/>
          <w:kern w:val="0"/>
          <w:shd w:val="clear" w:color="auto" w:fill="FFFFFF"/>
          <w:lang w:bidi="ar"/>
        </w:rPr>
        <w:t>土地面积共489.6600亩，</w:t>
      </w:r>
      <w:r>
        <w:rPr>
          <w:rFonts w:hint="eastAsia" w:ascii="仿宋_GB2312" w:hAnsi="仿宋_GB2312" w:cs="仿宋_GB2312"/>
          <w:color w:val="auto"/>
        </w:rPr>
        <w:t>其中44.5155亩属于农村集体经济组织留用地，征地双方目前尚未签订征地补偿安置协议。该项目征地社保费应按2.14万元/亩的标准计提（即征地补偿安置方案制定时，我区每亩平均征收农用地综合区片地价13.33万元/亩的16%），其中44.5155亩属于农村集体经济组织留用地，按规定不计提征地社保费，需计提费用共</w:t>
      </w:r>
      <w:r>
        <w:rPr>
          <w:rFonts w:ascii="仿宋_GB2312" w:hAnsi="仿宋_GB2312" w:cs="仿宋_GB2312"/>
          <w:color w:val="auto"/>
        </w:rPr>
        <w:t>952.68</w:t>
      </w:r>
      <w:r>
        <w:rPr>
          <w:rFonts w:hint="eastAsia" w:ascii="仿宋_GB2312" w:hAnsi="仿宋_GB2312" w:cs="仿宋_GB2312"/>
          <w:color w:val="auto"/>
        </w:rPr>
        <w:t>万元由征地主体（用地单位）一次性预存入我区人力资源社会保障部门开设的“收缴被征地农民养老保障资金过渡户”，单列计提并计入征地成本，纳入工程项目概算。</w:t>
      </w:r>
    </w:p>
    <w:p w14:paraId="15236BC7">
      <w:pPr>
        <w:ind w:firstLine="640" w:firstLineChars="200"/>
        <w:rPr>
          <w:rFonts w:hint="eastAsia" w:ascii="仿宋_GB2312" w:hAnsi="仿宋_GB2312" w:eastAsia="黑体" w:cs="仿宋_GB2312"/>
          <w:color w:val="auto"/>
        </w:rPr>
      </w:pPr>
      <w:r>
        <w:rPr>
          <w:rFonts w:hint="eastAsia" w:ascii="仿宋_GB2312" w:hAnsi="仿宋_GB2312" w:cs="仿宋_GB2312"/>
          <w:color w:val="auto"/>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bidi="ar"/>
        </w:rPr>
        <w:t xml:space="preserve"> </w:t>
      </w:r>
      <w:r>
        <w:rPr>
          <w:rFonts w:hint="eastAsia" w:ascii="仿宋_GB2312" w:hAnsi="仿宋_GB2312" w:eastAsia="黑体" w:cs="仿宋_GB2312"/>
          <w:color w:val="auto"/>
        </w:rPr>
        <w:t xml:space="preserve">   </w:t>
      </w:r>
    </w:p>
    <w:p w14:paraId="50047FD2">
      <w:pPr>
        <w:ind w:firstLine="640" w:firstLineChars="200"/>
        <w:rPr>
          <w:rFonts w:hint="eastAsia" w:ascii="仿宋_GB2312" w:hAnsi="仿宋_GB2312" w:cs="仿宋_GB2312"/>
          <w:color w:val="auto"/>
        </w:rPr>
      </w:pPr>
      <w:r>
        <w:rPr>
          <w:rFonts w:hint="eastAsia" w:ascii="仿宋_GB2312" w:hAnsi="仿宋_GB2312" w:cs="仿宋_GB2312"/>
          <w:color w:val="auto"/>
        </w:rPr>
        <w:t>四、征地社保费分配。一是</w:t>
      </w:r>
      <w:r>
        <w:rPr>
          <w:rFonts w:ascii="仿宋_GB2312" w:hAnsi="仿宋_GB2312" w:cs="仿宋_GB2312"/>
          <w:color w:val="auto"/>
        </w:rPr>
        <w:t>征地社保费</w:t>
      </w:r>
      <w:r>
        <w:rPr>
          <w:rFonts w:hint="eastAsia" w:ascii="仿宋_GB2312" w:hAnsi="仿宋_GB2312" w:cs="仿宋_GB2312"/>
          <w:color w:val="auto"/>
        </w:rPr>
        <w:t>专款用于被征地农民的基本养老保险补贴。二是落实</w:t>
      </w:r>
      <w:r>
        <w:rPr>
          <w:rFonts w:hint="eastAsia" w:ascii="仿宋_GB2312" w:hAnsi="仿宋_GB2312" w:cs="仿宋_GB2312"/>
          <w:bCs/>
          <w:color w:val="auto"/>
        </w:rPr>
        <w:t>“</w:t>
      </w:r>
      <w:r>
        <w:rPr>
          <w:rFonts w:ascii="仿宋_GB2312" w:hAnsi="仿宋_GB2312" w:cs="仿宋_GB2312"/>
          <w:bCs/>
          <w:color w:val="auto"/>
        </w:rPr>
        <w:t>征地社保费与征地安置补偿费同期拨付</w:t>
      </w:r>
      <w:r>
        <w:rPr>
          <w:rFonts w:hint="eastAsia" w:ascii="仿宋_GB2312" w:hAnsi="仿宋_GB2312" w:cs="仿宋_GB2312"/>
          <w:bCs/>
          <w:color w:val="auto"/>
        </w:rPr>
        <w:t>”和“在项目获批后3个月内完成资金分配工作，落实参保到人”的有关规定</w:t>
      </w:r>
      <w:r>
        <w:rPr>
          <w:rFonts w:ascii="仿宋_GB2312" w:hAnsi="仿宋_GB2312" w:cs="仿宋_GB2312"/>
          <w:bCs/>
          <w:color w:val="auto"/>
        </w:rPr>
        <w:t>。</w:t>
      </w:r>
      <w:r>
        <w:rPr>
          <w:rFonts w:hint="eastAsia" w:ascii="仿宋_GB2312" w:hAnsi="仿宋_GB2312" w:cs="仿宋_GB2312"/>
          <w:color w:val="auto"/>
        </w:rPr>
        <w:t>乡镇人民政府（街道办事处）按规定牵头做好被征地农民的失地面积及纳入征地社保费补贴范围的人数和对象审核、报送工作，及时报送所属</w:t>
      </w:r>
      <w:r>
        <w:rPr>
          <w:color w:val="auto"/>
        </w:rPr>
        <w:t>社会保险经办部门</w:t>
      </w:r>
      <w:r>
        <w:rPr>
          <w:rFonts w:hint="eastAsia" w:ascii="仿宋_GB2312" w:hAnsi="仿宋_GB2312" w:cs="仿宋_GB2312"/>
          <w:color w:val="auto"/>
        </w:rPr>
        <w:t>办理社保手续。</w:t>
      </w:r>
    </w:p>
    <w:p w14:paraId="3B429E57">
      <w:pPr>
        <w:pStyle w:val="2"/>
        <w:ind w:firstLine="0" w:firstLineChars="0"/>
        <w:rPr>
          <w:color w:val="auto"/>
        </w:rPr>
      </w:pPr>
    </w:p>
    <w:p w14:paraId="5829CFFC">
      <w:pPr>
        <w:spacing w:line="560" w:lineRule="exact"/>
        <w:ind w:firstLine="640" w:firstLineChars="200"/>
        <w:rPr>
          <w:rFonts w:hint="eastAsia" w:ascii="仿宋_GB2312" w:hAnsi="仿宋_GB2312" w:cs="仿宋_GB2312"/>
          <w:color w:val="auto"/>
        </w:rPr>
      </w:pPr>
      <w:r>
        <w:rPr>
          <w:rFonts w:hint="eastAsia" w:ascii="仿宋_GB2312" w:hAnsi="仿宋_GB2312" w:cs="仿宋_GB2312"/>
          <w:color w:val="auto"/>
        </w:rPr>
        <w:t>附件：征地土地和养老保障情况表</w:t>
      </w:r>
    </w:p>
    <w:p w14:paraId="0A712DFB">
      <w:pPr>
        <w:ind w:firstLine="640" w:firstLineChars="200"/>
        <w:rPr>
          <w:rFonts w:hint="eastAsia" w:ascii="仿宋_GB2312" w:hAnsi="仿宋_GB2312" w:cs="仿宋_GB2312"/>
          <w:color w:val="auto"/>
        </w:rPr>
      </w:pPr>
      <w:r>
        <w:rPr>
          <w:rFonts w:hint="eastAsia" w:ascii="仿宋_GB2312" w:hAnsi="仿宋_GB2312" w:cs="仿宋_GB2312"/>
          <w:color w:val="auto"/>
        </w:rPr>
        <w:t xml:space="preserve">  </w:t>
      </w:r>
    </w:p>
    <w:p w14:paraId="4F1BCF8E">
      <w:pPr>
        <w:rPr>
          <w:rFonts w:hint="eastAsia" w:ascii="仿宋_GB2312" w:hAnsi="仿宋_GB2312" w:cs="仿宋_GB2312"/>
          <w:color w:val="auto"/>
        </w:rPr>
      </w:pPr>
    </w:p>
    <w:p w14:paraId="5E54A838">
      <w:pPr>
        <w:pStyle w:val="2"/>
        <w:ind w:firstLine="640"/>
        <w:rPr>
          <w:color w:val="auto"/>
        </w:rPr>
      </w:pPr>
    </w:p>
    <w:p w14:paraId="387A9826">
      <w:pPr>
        <w:ind w:firstLine="3200" w:firstLineChars="1000"/>
        <w:rPr>
          <w:rFonts w:hint="eastAsia" w:ascii="仿宋_GB2312" w:hAnsi="仿宋_GB2312" w:cs="仿宋_GB2312"/>
          <w:color w:val="auto"/>
        </w:rPr>
      </w:pPr>
      <w:r>
        <w:rPr>
          <w:rFonts w:hint="eastAsia" w:ascii="仿宋_GB2312" w:hAnsi="仿宋_GB2312" w:cs="仿宋_GB2312"/>
          <w:color w:val="auto"/>
        </w:rPr>
        <w:t>广州市花都区人力资源和社会保障局</w:t>
      </w:r>
    </w:p>
    <w:p w14:paraId="053CD94C">
      <w:pPr>
        <w:rPr>
          <w:rFonts w:hint="eastAsia" w:ascii="仿宋_GB2312" w:hAnsi="仿宋_GB2312" w:cs="仿宋_GB2312"/>
          <w:color w:val="auto"/>
          <w:kern w:val="0"/>
          <w:shd w:val="clear" w:color="auto" w:fill="FFFFFF"/>
          <w:lang w:bidi="ar"/>
        </w:rPr>
      </w:pPr>
      <w:r>
        <w:rPr>
          <w:rFonts w:hint="eastAsia" w:ascii="仿宋_GB2312" w:hAnsi="仿宋_GB2312" w:cs="仿宋_GB2312"/>
          <w:color w:val="auto"/>
        </w:rPr>
        <w:t xml:space="preserve">                              2026年3月</w:t>
      </w:r>
      <w:r>
        <w:rPr>
          <w:rFonts w:hint="eastAsia" w:ascii="仿宋_GB2312" w:hAnsi="仿宋_GB2312" w:cs="仿宋_GB2312"/>
          <w:color w:val="auto"/>
          <w:kern w:val="0"/>
          <w:shd w:val="clear" w:color="auto" w:fill="FFFFFF"/>
          <w:lang w:bidi="ar"/>
        </w:rPr>
        <w:t>20日</w:t>
      </w:r>
    </w:p>
    <w:p w14:paraId="02D234C8">
      <w:pPr>
        <w:pStyle w:val="2"/>
        <w:ind w:firstLine="640"/>
        <w:rPr>
          <w:rFonts w:hint="eastAsia" w:ascii="仿宋_GB2312" w:hAnsi="仿宋_GB2312" w:cs="仿宋_GB2312"/>
          <w:color w:val="auto"/>
          <w:kern w:val="0"/>
          <w:shd w:val="clear" w:color="auto" w:fill="FFFFFF"/>
          <w:lang w:bidi="ar"/>
        </w:rPr>
      </w:pPr>
    </w:p>
    <w:p w14:paraId="28413CF5">
      <w:pPr>
        <w:rPr>
          <w:color w:val="auto"/>
        </w:rPr>
      </w:pPr>
    </w:p>
    <w:p w14:paraId="1775D6DB">
      <w:pPr>
        <w:rPr>
          <w:rFonts w:hint="eastAsia" w:ascii="黑体" w:hAnsi="黑体" w:eastAsia="黑体" w:cs="黑体"/>
          <w:color w:val="auto"/>
        </w:rPr>
      </w:pPr>
    </w:p>
    <w:p w14:paraId="1AFF30EF">
      <w:pPr>
        <w:rPr>
          <w:rFonts w:hint="eastAsia" w:ascii="黑体" w:hAnsi="黑体" w:eastAsia="黑体" w:cs="黑体"/>
          <w:color w:val="auto"/>
        </w:rPr>
      </w:pPr>
    </w:p>
    <w:p w14:paraId="69BE7FF8">
      <w:pPr>
        <w:rPr>
          <w:rFonts w:hint="eastAsia" w:ascii="黑体" w:hAnsi="黑体" w:eastAsia="黑体" w:cs="黑体"/>
          <w:color w:val="auto"/>
        </w:rPr>
      </w:pPr>
    </w:p>
    <w:p w14:paraId="618EC772">
      <w:pPr>
        <w:rPr>
          <w:rFonts w:hint="eastAsia" w:ascii="黑体" w:hAnsi="黑体" w:eastAsia="黑体" w:cs="黑体"/>
          <w:color w:val="auto"/>
        </w:rPr>
      </w:pPr>
    </w:p>
    <w:p w14:paraId="7C2FB7BD">
      <w:pPr>
        <w:rPr>
          <w:rFonts w:hint="eastAsia" w:ascii="黑体" w:hAnsi="黑体" w:eastAsia="黑体" w:cs="黑体"/>
          <w:color w:val="auto"/>
        </w:rPr>
      </w:pPr>
    </w:p>
    <w:p w14:paraId="2F30D2F4">
      <w:pPr>
        <w:rPr>
          <w:rFonts w:hint="eastAsia" w:ascii="黑体" w:hAnsi="黑体" w:eastAsia="黑体" w:cs="黑体"/>
          <w:color w:val="auto"/>
        </w:rPr>
      </w:pPr>
    </w:p>
    <w:p w14:paraId="150EA611">
      <w:pPr>
        <w:rPr>
          <w:rFonts w:hint="eastAsia" w:ascii="黑体" w:hAnsi="黑体" w:eastAsia="黑体" w:cs="黑体"/>
          <w:color w:val="auto"/>
        </w:rPr>
      </w:pPr>
    </w:p>
    <w:p w14:paraId="14903A4A">
      <w:pPr>
        <w:rPr>
          <w:rFonts w:hint="eastAsia" w:ascii="黑体" w:hAnsi="黑体" w:eastAsia="黑体" w:cs="黑体"/>
          <w:color w:val="auto"/>
        </w:rPr>
      </w:pPr>
    </w:p>
    <w:p w14:paraId="3A1375D5">
      <w:pPr>
        <w:rPr>
          <w:rFonts w:hint="eastAsia" w:ascii="黑体" w:hAnsi="黑体" w:eastAsia="黑体" w:cs="黑体"/>
          <w:color w:val="auto"/>
        </w:rPr>
      </w:pPr>
    </w:p>
    <w:p w14:paraId="4DDE06C6">
      <w:pPr>
        <w:rPr>
          <w:rFonts w:ascii="黑体" w:hAnsi="黑体" w:eastAsia="黑体" w:cs="黑体"/>
          <w:color w:val="auto"/>
        </w:rPr>
      </w:pPr>
    </w:p>
    <w:p w14:paraId="58596AE1">
      <w:pPr>
        <w:pStyle w:val="2"/>
        <w:rPr>
          <w:color w:val="auto"/>
        </w:rPr>
      </w:pPr>
    </w:p>
    <w:p w14:paraId="6A437A0D">
      <w:pPr>
        <w:rPr>
          <w:rFonts w:hint="eastAsia" w:ascii="黑体" w:hAnsi="黑体" w:eastAsia="黑体" w:cs="黑体"/>
          <w:color w:val="auto"/>
        </w:rPr>
      </w:pPr>
      <w:r>
        <w:rPr>
          <w:rFonts w:hint="eastAsia" w:ascii="黑体" w:hAnsi="黑体" w:eastAsia="黑体" w:cs="黑体"/>
          <w:color w:val="auto"/>
        </w:rPr>
        <w:t>附件</w:t>
      </w:r>
    </w:p>
    <w:p w14:paraId="3D4C4471">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14:paraId="6FDB3955">
      <w:pPr>
        <w:spacing w:line="600" w:lineRule="exact"/>
        <w:ind w:right="770"/>
        <w:jc w:val="right"/>
        <w:rPr>
          <w:rFonts w:hint="eastAsia" w:ascii="仿宋_GB2312" w:hAnsi="仿宋_GB2312" w:cs="仿宋_GB2312"/>
          <w:color w:val="auto"/>
          <w:sz w:val="24"/>
          <w:szCs w:val="24"/>
        </w:rPr>
      </w:pPr>
      <w:r>
        <w:rPr>
          <w:rFonts w:hint="eastAsia" w:ascii="仿宋_GB2312" w:hAnsi="仿宋_GB2312" w:cs="仿宋_GB2312"/>
          <w:color w:val="auto"/>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570475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14:paraId="3B46F565">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14:paraId="5FAD0943">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1DD706">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14:paraId="4E707CA1">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需计提征地社保费</w:t>
            </w:r>
          </w:p>
        </w:tc>
      </w:tr>
      <w:tr w14:paraId="182779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vAlign w:val="center"/>
          </w:tcPr>
          <w:p w14:paraId="129EABFE">
            <w:pPr>
              <w:widowControl/>
              <w:spacing w:line="300" w:lineRule="exact"/>
              <w:ind w:left="-38" w:leftChars="-12"/>
              <w:jc w:val="center"/>
              <w:rPr>
                <w:rFonts w:ascii="仿宋_GB2312" w:hAnsi="仿宋_GB2312" w:cs="仿宋_GB2312"/>
                <w:color w:val="auto"/>
                <w:kern w:val="0"/>
                <w:sz w:val="24"/>
                <w:szCs w:val="24"/>
              </w:rPr>
            </w:pPr>
          </w:p>
          <w:p w14:paraId="72563215">
            <w:pPr>
              <w:widowControl/>
              <w:spacing w:line="300" w:lineRule="exact"/>
              <w:ind w:left="-38" w:leftChars="-12"/>
              <w:jc w:val="center"/>
              <w:rPr>
                <w:rFonts w:ascii="仿宋_GB2312" w:hAnsi="仿宋_GB2312" w:cs="仿宋_GB2312"/>
                <w:color w:val="auto"/>
                <w:kern w:val="0"/>
                <w:sz w:val="24"/>
                <w:szCs w:val="24"/>
              </w:rPr>
            </w:pPr>
          </w:p>
          <w:p w14:paraId="4373966D">
            <w:pPr>
              <w:widowControl/>
              <w:spacing w:line="300" w:lineRule="exact"/>
              <w:ind w:left="-38" w:leftChars="-12"/>
              <w:jc w:val="center"/>
              <w:rPr>
                <w:rFonts w:ascii="仿宋_GB2312" w:hAnsi="仿宋_GB2312" w:cs="仿宋_GB2312"/>
                <w:color w:val="auto"/>
                <w:kern w:val="0"/>
                <w:sz w:val="24"/>
                <w:szCs w:val="24"/>
              </w:rPr>
            </w:pPr>
          </w:p>
          <w:p w14:paraId="0E18596F">
            <w:pPr>
              <w:widowControl/>
              <w:spacing w:line="300" w:lineRule="exact"/>
              <w:ind w:left="-38" w:leftChars="-12"/>
              <w:jc w:val="center"/>
              <w:rPr>
                <w:rFonts w:ascii="仿宋_GB2312" w:hAnsi="仿宋_GB2312" w:cs="仿宋_GB2312"/>
                <w:color w:val="auto"/>
                <w:kern w:val="0"/>
                <w:sz w:val="24"/>
                <w:szCs w:val="24"/>
              </w:rPr>
            </w:pPr>
          </w:p>
          <w:p w14:paraId="6FB4AE80">
            <w:pPr>
              <w:widowControl/>
              <w:spacing w:line="300" w:lineRule="exact"/>
              <w:ind w:left="-38" w:leftChars="-12"/>
              <w:jc w:val="center"/>
              <w:rPr>
                <w:rFonts w:ascii="仿宋_GB2312" w:hAnsi="仿宋_GB2312" w:cs="仿宋_GB2312"/>
                <w:color w:val="auto"/>
                <w:kern w:val="0"/>
                <w:sz w:val="24"/>
                <w:szCs w:val="24"/>
              </w:rPr>
            </w:pPr>
          </w:p>
          <w:p w14:paraId="645B06A2">
            <w:pPr>
              <w:widowControl/>
              <w:spacing w:line="300" w:lineRule="exact"/>
              <w:ind w:left="-38" w:leftChars="-12"/>
              <w:jc w:val="center"/>
              <w:rPr>
                <w:rFonts w:ascii="仿宋_GB2312" w:hAnsi="仿宋_GB2312" w:cs="仿宋_GB2312"/>
                <w:color w:val="auto"/>
                <w:kern w:val="0"/>
                <w:sz w:val="24"/>
                <w:szCs w:val="24"/>
              </w:rPr>
            </w:pPr>
          </w:p>
          <w:p w14:paraId="0DFDBB9B">
            <w:pPr>
              <w:widowControl/>
              <w:spacing w:line="300" w:lineRule="exact"/>
              <w:ind w:left="-38" w:leftChars="-12"/>
              <w:jc w:val="center"/>
              <w:rPr>
                <w:rFonts w:ascii="仿宋_GB2312" w:hAnsi="仿宋_GB2312" w:cs="仿宋_GB2312"/>
                <w:color w:val="auto"/>
                <w:kern w:val="0"/>
                <w:sz w:val="24"/>
                <w:szCs w:val="24"/>
              </w:rPr>
            </w:pPr>
          </w:p>
          <w:p w14:paraId="6E7D2B15">
            <w:pPr>
              <w:widowControl/>
              <w:spacing w:line="300" w:lineRule="exact"/>
              <w:ind w:left="-38" w:leftChars="-12"/>
              <w:jc w:val="center"/>
              <w:rPr>
                <w:rFonts w:ascii="仿宋_GB2312" w:hAnsi="仿宋_GB2312" w:cs="仿宋_GB2312"/>
                <w:color w:val="auto"/>
                <w:kern w:val="0"/>
                <w:sz w:val="24"/>
                <w:szCs w:val="24"/>
              </w:rPr>
            </w:pPr>
          </w:p>
          <w:p w14:paraId="7D2D6E17">
            <w:pPr>
              <w:widowControl/>
              <w:spacing w:line="300" w:lineRule="exact"/>
              <w:ind w:left="-38" w:leftChars="-12"/>
              <w:jc w:val="center"/>
              <w:rPr>
                <w:rFonts w:ascii="仿宋_GB2312" w:hAnsi="仿宋_GB2312" w:cs="仿宋_GB2312"/>
                <w:color w:val="auto"/>
                <w:kern w:val="0"/>
                <w:sz w:val="24"/>
                <w:szCs w:val="24"/>
              </w:rPr>
            </w:pPr>
          </w:p>
          <w:p w14:paraId="2F5F3011">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花山镇</w:t>
            </w:r>
          </w:p>
          <w:p w14:paraId="364A5690">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D43AE0">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东方村第四经济合作社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550EFAC0">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40.779</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FEBD68">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3.7065</w:t>
            </w:r>
          </w:p>
        </w:tc>
        <w:tc>
          <w:tcPr>
            <w:tcW w:w="1843" w:type="dxa"/>
            <w:tcBorders>
              <w:top w:val="single" w:color="auto" w:sz="4" w:space="0"/>
              <w:left w:val="single" w:color="auto" w:sz="4" w:space="0"/>
              <w:bottom w:val="single" w:color="auto" w:sz="4" w:space="0"/>
              <w:right w:val="single" w:color="auto" w:sz="4" w:space="0"/>
            </w:tcBorders>
            <w:vAlign w:val="center"/>
          </w:tcPr>
          <w:p w14:paraId="2690A5E5">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79.34</w:t>
            </w:r>
          </w:p>
        </w:tc>
      </w:tr>
      <w:tr w14:paraId="10911B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14:paraId="06C3BBEF">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035EB1">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东方村第五经济合作社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791463E6">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73.6995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A7FF9E">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6.7005</w:t>
            </w:r>
          </w:p>
        </w:tc>
        <w:tc>
          <w:tcPr>
            <w:tcW w:w="1843" w:type="dxa"/>
            <w:tcBorders>
              <w:top w:val="single" w:color="auto" w:sz="4" w:space="0"/>
              <w:left w:val="single" w:color="auto" w:sz="4" w:space="0"/>
              <w:bottom w:val="single" w:color="auto" w:sz="4" w:space="0"/>
              <w:right w:val="single" w:color="auto" w:sz="4" w:space="0"/>
            </w:tcBorders>
            <w:vAlign w:val="center"/>
          </w:tcPr>
          <w:p w14:paraId="0FD101BB">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143.38</w:t>
            </w:r>
          </w:p>
        </w:tc>
      </w:tr>
      <w:tr w14:paraId="763FA5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14:paraId="69A47AEE">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511F41">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两龙村东坑第二经济合作社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58F3DB6E">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29.7705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471ABE">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2.706</w:t>
            </w:r>
          </w:p>
        </w:tc>
        <w:tc>
          <w:tcPr>
            <w:tcW w:w="1843" w:type="dxa"/>
            <w:tcBorders>
              <w:top w:val="single" w:color="auto" w:sz="4" w:space="0"/>
              <w:left w:val="single" w:color="auto" w:sz="4" w:space="0"/>
              <w:bottom w:val="single" w:color="auto" w:sz="4" w:space="0"/>
              <w:right w:val="single" w:color="auto" w:sz="4" w:space="0"/>
            </w:tcBorders>
            <w:vAlign w:val="center"/>
          </w:tcPr>
          <w:p w14:paraId="2C5242D8">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57.92</w:t>
            </w:r>
          </w:p>
        </w:tc>
      </w:tr>
      <w:tr w14:paraId="75ED6E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14:paraId="718780F5">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BB1F85F">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两龙村东坑第一经济合作社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076D5F7D">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70.8435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33FD6C">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6.4395</w:t>
            </w:r>
          </w:p>
        </w:tc>
        <w:tc>
          <w:tcPr>
            <w:tcW w:w="1843" w:type="dxa"/>
            <w:tcBorders>
              <w:top w:val="single" w:color="auto" w:sz="4" w:space="0"/>
              <w:left w:val="single" w:color="auto" w:sz="4" w:space="0"/>
              <w:bottom w:val="single" w:color="auto" w:sz="4" w:space="0"/>
              <w:right w:val="single" w:color="auto" w:sz="4" w:space="0"/>
            </w:tcBorders>
            <w:vAlign w:val="center"/>
          </w:tcPr>
          <w:p w14:paraId="1CAFE34C">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137.83</w:t>
            </w:r>
          </w:p>
        </w:tc>
      </w:tr>
      <w:tr w14:paraId="05BCE3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5" w:hRule="atLeast"/>
          <w:jc w:val="center"/>
        </w:trPr>
        <w:tc>
          <w:tcPr>
            <w:tcW w:w="1313" w:type="dxa"/>
            <w:vMerge w:val="continue"/>
            <w:tcBorders>
              <w:right w:val="single" w:color="auto" w:sz="4" w:space="0"/>
            </w:tcBorders>
            <w:vAlign w:val="center"/>
          </w:tcPr>
          <w:p w14:paraId="5D9EA825">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863DEF">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两龙村东社经济合作社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298508EC">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21.8775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5DDBA0">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1.989</w:t>
            </w:r>
          </w:p>
        </w:tc>
        <w:tc>
          <w:tcPr>
            <w:tcW w:w="1843" w:type="dxa"/>
            <w:tcBorders>
              <w:top w:val="single" w:color="auto" w:sz="4" w:space="0"/>
              <w:left w:val="single" w:color="auto" w:sz="4" w:space="0"/>
              <w:bottom w:val="single" w:color="auto" w:sz="4" w:space="0"/>
              <w:right w:val="single" w:color="auto" w:sz="4" w:space="0"/>
            </w:tcBorders>
            <w:vAlign w:val="center"/>
          </w:tcPr>
          <w:p w14:paraId="644093A3">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42.57</w:t>
            </w:r>
          </w:p>
        </w:tc>
      </w:tr>
      <w:tr w14:paraId="0E84C4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15D19BBD">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A45126B">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两龙村经济联合社</w:t>
            </w:r>
          </w:p>
        </w:tc>
        <w:tc>
          <w:tcPr>
            <w:tcW w:w="1921" w:type="dxa"/>
            <w:tcBorders>
              <w:top w:val="single" w:color="auto" w:sz="4" w:space="0"/>
              <w:left w:val="single" w:color="auto" w:sz="4" w:space="0"/>
              <w:bottom w:val="single" w:color="auto" w:sz="4" w:space="0"/>
              <w:right w:val="single" w:color="auto" w:sz="4" w:space="0"/>
            </w:tcBorders>
            <w:vAlign w:val="center"/>
          </w:tcPr>
          <w:p w14:paraId="4D91D1B9">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0.4245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6A656D7">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0.039</w:t>
            </w:r>
          </w:p>
        </w:tc>
        <w:tc>
          <w:tcPr>
            <w:tcW w:w="1843" w:type="dxa"/>
            <w:tcBorders>
              <w:top w:val="single" w:color="auto" w:sz="4" w:space="0"/>
              <w:left w:val="single" w:color="auto" w:sz="4" w:space="0"/>
              <w:bottom w:val="single" w:color="auto" w:sz="4" w:space="0"/>
              <w:right w:val="single" w:color="auto" w:sz="4" w:space="0"/>
            </w:tcBorders>
            <w:vAlign w:val="center"/>
          </w:tcPr>
          <w:p w14:paraId="0FED0844">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0.83</w:t>
            </w:r>
          </w:p>
        </w:tc>
      </w:tr>
      <w:tr w14:paraId="15DB29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35A9AC1F">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F2ABE4">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两龙村太记经济合作社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5157731D">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69.729</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862543">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6.339</w:t>
            </w:r>
          </w:p>
        </w:tc>
        <w:tc>
          <w:tcPr>
            <w:tcW w:w="1843" w:type="dxa"/>
            <w:tcBorders>
              <w:top w:val="single" w:color="auto" w:sz="4" w:space="0"/>
              <w:left w:val="single" w:color="auto" w:sz="4" w:space="0"/>
              <w:bottom w:val="single" w:color="auto" w:sz="4" w:space="0"/>
              <w:right w:val="single" w:color="auto" w:sz="4" w:space="0"/>
            </w:tcBorders>
            <w:vAlign w:val="center"/>
          </w:tcPr>
          <w:p w14:paraId="570560AD">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135.66</w:t>
            </w:r>
          </w:p>
        </w:tc>
      </w:tr>
      <w:tr w14:paraId="6B05E4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12E6A57C">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3A3AA28">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两龙村太记经济合作社、洛场村第七经济合作社（共有）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14:paraId="3A8315EE">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2.3205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9B0166">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0.2115</w:t>
            </w:r>
          </w:p>
        </w:tc>
        <w:tc>
          <w:tcPr>
            <w:tcW w:w="1843" w:type="dxa"/>
            <w:tcBorders>
              <w:top w:val="single" w:color="auto" w:sz="4" w:space="0"/>
              <w:left w:val="single" w:color="auto" w:sz="4" w:space="0"/>
              <w:bottom w:val="single" w:color="auto" w:sz="4" w:space="0"/>
              <w:right w:val="single" w:color="auto" w:sz="4" w:space="0"/>
            </w:tcBorders>
            <w:vAlign w:val="center"/>
          </w:tcPr>
          <w:p w14:paraId="54B697B3">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4.52</w:t>
            </w:r>
          </w:p>
        </w:tc>
      </w:tr>
      <w:tr w14:paraId="0AA399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0431C12F">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393B0A">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两龙村杨兴经济合作社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5AF2B36C">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22.932</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57C72A">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2.085</w:t>
            </w:r>
          </w:p>
        </w:tc>
        <w:tc>
          <w:tcPr>
            <w:tcW w:w="1843" w:type="dxa"/>
            <w:tcBorders>
              <w:top w:val="single" w:color="auto" w:sz="4" w:space="0"/>
              <w:left w:val="single" w:color="auto" w:sz="4" w:space="0"/>
              <w:bottom w:val="single" w:color="auto" w:sz="4" w:space="0"/>
              <w:right w:val="single" w:color="auto" w:sz="4" w:space="0"/>
            </w:tcBorders>
            <w:vAlign w:val="center"/>
          </w:tcPr>
          <w:p w14:paraId="629296DF">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44.62</w:t>
            </w:r>
          </w:p>
        </w:tc>
      </w:tr>
      <w:tr w14:paraId="254793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722DDF3D">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90E2EB">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两龙村张庄经济合作社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6FD01342">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17.997</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92ACD7">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1.6365</w:t>
            </w:r>
          </w:p>
        </w:tc>
        <w:tc>
          <w:tcPr>
            <w:tcW w:w="1843" w:type="dxa"/>
            <w:tcBorders>
              <w:top w:val="single" w:color="auto" w:sz="4" w:space="0"/>
              <w:left w:val="single" w:color="auto" w:sz="4" w:space="0"/>
              <w:bottom w:val="single" w:color="auto" w:sz="4" w:space="0"/>
              <w:right w:val="single" w:color="auto" w:sz="4" w:space="0"/>
            </w:tcBorders>
            <w:vAlign w:val="center"/>
          </w:tcPr>
          <w:p w14:paraId="227106A1">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35.02</w:t>
            </w:r>
          </w:p>
        </w:tc>
      </w:tr>
      <w:tr w14:paraId="4D7CB7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5F148216">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38AB17">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洛场村第六经济合作社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6CFF512A">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3.5745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727A19">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0.3255</w:t>
            </w:r>
          </w:p>
        </w:tc>
        <w:tc>
          <w:tcPr>
            <w:tcW w:w="1843" w:type="dxa"/>
            <w:tcBorders>
              <w:top w:val="single" w:color="auto" w:sz="4" w:space="0"/>
              <w:left w:val="single" w:color="auto" w:sz="4" w:space="0"/>
              <w:bottom w:val="single" w:color="auto" w:sz="4" w:space="0"/>
              <w:right w:val="single" w:color="auto" w:sz="4" w:space="0"/>
            </w:tcBorders>
            <w:vAlign w:val="center"/>
          </w:tcPr>
          <w:p w14:paraId="3F0833BD">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6.96</w:t>
            </w:r>
          </w:p>
        </w:tc>
      </w:tr>
      <w:tr w14:paraId="3E5FB2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63BB2051">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6095C2">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洛场村第七经济合作社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17524805">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113.004</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1CF296">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10.2735</w:t>
            </w:r>
          </w:p>
        </w:tc>
        <w:tc>
          <w:tcPr>
            <w:tcW w:w="1843" w:type="dxa"/>
            <w:tcBorders>
              <w:top w:val="single" w:color="auto" w:sz="4" w:space="0"/>
              <w:left w:val="single" w:color="auto" w:sz="4" w:space="0"/>
              <w:bottom w:val="single" w:color="auto" w:sz="4" w:space="0"/>
              <w:right w:val="single" w:color="auto" w:sz="4" w:space="0"/>
            </w:tcBorders>
            <w:vAlign w:val="center"/>
          </w:tcPr>
          <w:p w14:paraId="1111A643">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219.85</w:t>
            </w:r>
          </w:p>
        </w:tc>
      </w:tr>
      <w:tr w14:paraId="5B827D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14:paraId="092B8BEC">
            <w:pPr>
              <w:widowControl/>
              <w:spacing w:line="300" w:lineRule="exact"/>
              <w:ind w:left="-38" w:leftChars="-12"/>
              <w:jc w:val="center"/>
              <w:rPr>
                <w:rFonts w:hint="eastAsia" w:ascii="仿宋_GB2312" w:hAnsi="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F6F15D">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洛场村第十四经济合作社</w:t>
            </w:r>
          </w:p>
        </w:tc>
        <w:tc>
          <w:tcPr>
            <w:tcW w:w="1921" w:type="dxa"/>
            <w:tcBorders>
              <w:top w:val="single" w:color="auto" w:sz="4" w:space="0"/>
              <w:left w:val="single" w:color="auto" w:sz="4" w:space="0"/>
              <w:bottom w:val="single" w:color="auto" w:sz="4" w:space="0"/>
              <w:right w:val="single" w:color="auto" w:sz="4" w:space="0"/>
            </w:tcBorders>
            <w:vAlign w:val="center"/>
          </w:tcPr>
          <w:p w14:paraId="03741F83">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22.7085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95949D">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2.064</w:t>
            </w:r>
          </w:p>
        </w:tc>
        <w:tc>
          <w:tcPr>
            <w:tcW w:w="1843" w:type="dxa"/>
            <w:tcBorders>
              <w:top w:val="single" w:color="auto" w:sz="4" w:space="0"/>
              <w:left w:val="single" w:color="auto" w:sz="4" w:space="0"/>
              <w:bottom w:val="single" w:color="auto" w:sz="4" w:space="0"/>
              <w:right w:val="single" w:color="auto" w:sz="4" w:space="0"/>
            </w:tcBorders>
            <w:vAlign w:val="center"/>
          </w:tcPr>
          <w:p w14:paraId="3524CA5C">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44.18</w:t>
            </w:r>
          </w:p>
        </w:tc>
      </w:tr>
      <w:tr w14:paraId="08EB3C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14:paraId="489950C7">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合      计</w:t>
            </w:r>
          </w:p>
        </w:tc>
        <w:tc>
          <w:tcPr>
            <w:tcW w:w="1921" w:type="dxa"/>
            <w:tcBorders>
              <w:top w:val="single" w:color="auto" w:sz="4" w:space="0"/>
              <w:left w:val="single" w:color="auto" w:sz="4" w:space="0"/>
              <w:bottom w:val="single" w:color="auto" w:sz="4" w:space="0"/>
              <w:right w:val="single" w:color="auto" w:sz="4" w:space="0"/>
            </w:tcBorders>
            <w:vAlign w:val="center"/>
          </w:tcPr>
          <w:p w14:paraId="7B66E23C">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489.66</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0B6E23">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44.5155</w:t>
            </w:r>
          </w:p>
        </w:tc>
        <w:tc>
          <w:tcPr>
            <w:tcW w:w="1843" w:type="dxa"/>
            <w:tcBorders>
              <w:top w:val="single" w:color="auto" w:sz="4" w:space="0"/>
              <w:left w:val="single" w:color="auto" w:sz="4" w:space="0"/>
              <w:bottom w:val="single" w:color="auto" w:sz="4" w:space="0"/>
              <w:right w:val="single" w:color="auto" w:sz="4" w:space="0"/>
            </w:tcBorders>
            <w:vAlign w:val="center"/>
          </w:tcPr>
          <w:p w14:paraId="7A83E326">
            <w:pPr>
              <w:widowControl/>
              <w:spacing w:line="300" w:lineRule="exact"/>
              <w:ind w:left="-38" w:leftChars="-12"/>
              <w:jc w:val="center"/>
              <w:rPr>
                <w:rFonts w:hint="eastAsia" w:ascii="仿宋_GB2312" w:hAnsi="仿宋_GB2312" w:cs="仿宋_GB2312"/>
                <w:color w:val="auto"/>
                <w:kern w:val="0"/>
                <w:sz w:val="24"/>
                <w:szCs w:val="24"/>
              </w:rPr>
            </w:pPr>
            <w:r>
              <w:rPr>
                <w:rFonts w:ascii="仿宋_GB2312" w:hAnsi="仿宋_GB2312" w:cs="仿宋_GB2312"/>
                <w:color w:val="auto"/>
                <w:kern w:val="0"/>
                <w:sz w:val="24"/>
                <w:szCs w:val="24"/>
              </w:rPr>
              <w:t>952.68</w:t>
            </w:r>
          </w:p>
        </w:tc>
      </w:tr>
    </w:tbl>
    <w:p w14:paraId="4BA17699">
      <w:pPr>
        <w:spacing w:line="320" w:lineRule="exact"/>
        <w:ind w:right="210"/>
        <w:jc w:val="left"/>
        <w:rPr>
          <w:color w:val="auto"/>
          <w:sz w:val="24"/>
          <w:szCs w:val="28"/>
        </w:rPr>
      </w:pPr>
      <w:r>
        <w:rPr>
          <w:rFonts w:hint="eastAsia"/>
          <w:color w:val="auto"/>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14:paraId="032E486D">
      <w:pPr>
        <w:rPr>
          <w:color w:val="auto"/>
        </w:rPr>
      </w:pPr>
    </w:p>
    <w:p w14:paraId="0D461BB5">
      <w:pPr>
        <w:pStyle w:val="2"/>
        <w:ind w:firstLine="640"/>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5817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A6931">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9A6931">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077F07"/>
    <w:rsid w:val="001E3EAF"/>
    <w:rsid w:val="005C5A06"/>
    <w:rsid w:val="005E42A9"/>
    <w:rsid w:val="009C0EB7"/>
    <w:rsid w:val="00EC1C40"/>
    <w:rsid w:val="028E33DF"/>
    <w:rsid w:val="033451DB"/>
    <w:rsid w:val="06144AD1"/>
    <w:rsid w:val="08464AE7"/>
    <w:rsid w:val="08EC2A03"/>
    <w:rsid w:val="093A3CC5"/>
    <w:rsid w:val="0B9B6E50"/>
    <w:rsid w:val="0C1E49CC"/>
    <w:rsid w:val="0CE91961"/>
    <w:rsid w:val="0DEEA1F0"/>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16F744D"/>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3297862"/>
    <w:rsid w:val="450C1F37"/>
    <w:rsid w:val="4A8B480A"/>
    <w:rsid w:val="4C363821"/>
    <w:rsid w:val="54796DF0"/>
    <w:rsid w:val="56293227"/>
    <w:rsid w:val="57B071EF"/>
    <w:rsid w:val="57C7E304"/>
    <w:rsid w:val="595E5E5B"/>
    <w:rsid w:val="5A666CB6"/>
    <w:rsid w:val="5D7072F6"/>
    <w:rsid w:val="5D722B54"/>
    <w:rsid w:val="5DDB6CB6"/>
    <w:rsid w:val="5FE43DCD"/>
    <w:rsid w:val="614340C8"/>
    <w:rsid w:val="64127CE3"/>
    <w:rsid w:val="64374311"/>
    <w:rsid w:val="647F43E7"/>
    <w:rsid w:val="65A9621A"/>
    <w:rsid w:val="66177D25"/>
    <w:rsid w:val="6910044C"/>
    <w:rsid w:val="69B87A02"/>
    <w:rsid w:val="6FF9F39F"/>
    <w:rsid w:val="72270D40"/>
    <w:rsid w:val="72C048A2"/>
    <w:rsid w:val="7451241A"/>
    <w:rsid w:val="748706FC"/>
    <w:rsid w:val="74AF1E51"/>
    <w:rsid w:val="777FA5BE"/>
    <w:rsid w:val="79A963F5"/>
    <w:rsid w:val="7A301722"/>
    <w:rsid w:val="7A4A27FD"/>
    <w:rsid w:val="7C1546B9"/>
    <w:rsid w:val="7C376A40"/>
    <w:rsid w:val="7CC13B54"/>
    <w:rsid w:val="7D384D60"/>
    <w:rsid w:val="7DF30E5A"/>
    <w:rsid w:val="7F9A7F94"/>
    <w:rsid w:val="BDFC218B"/>
    <w:rsid w:val="DEFEB4A5"/>
    <w:rsid w:val="E75F0F27"/>
    <w:rsid w:val="FDFB98E0"/>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1347</Words>
  <Characters>1618</Characters>
  <Lines>78</Lines>
  <Paragraphs>58</Paragraphs>
  <TotalTime>31</TotalTime>
  <ScaleCrop>false</ScaleCrop>
  <LinksUpToDate>false</LinksUpToDate>
  <CharactersWithSpaces>1678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2021-11-11T06:53:00Z</dcterms:created>
  <dc:creator>小灵通</dc:creator>
  <cp:lastModifiedBy>admin</cp:lastModifiedBy>
  <cp:lastPrinted>2022-01-05T07:55:00Z</cp:lastPrinted>
  <dcterms:modified xsi:type="dcterms:W3CDTF">2026-03-26T10:00:17Z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AED87F88DCCF4EFB954934B0766A600E_13</vt:lpwstr>
  </property>
  <property fmtid="{D5CDD505-2E9C-101B-9397-08002B2CF9AE}" pid="4" name="KSOTemplateDocerSaveRecord">
    <vt:lpwstr>eyJoZGlkIjoiMjVkZDU0OTJhYThmNDRmMTI1YmQxNzU3OWEzZmM5MmQiLCJ1c2VySWQiOiIzMzA4Mzg1NTIifQ==</vt:lpwstr>
  </property>
</Properties>
</file>