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106D9">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color w:val="000000"/>
          <w:sz w:val="44"/>
          <w:szCs w:val="44"/>
        </w:rPr>
        <w:t>关</w:t>
      </w:r>
      <w:r>
        <w:rPr>
          <w:rFonts w:hint="default" w:ascii="Times New Roman" w:hAnsi="Times New Roman" w:eastAsia="方正小标宋简体" w:cs="Times New Roman"/>
          <w:bCs/>
          <w:sz w:val="44"/>
          <w:szCs w:val="44"/>
        </w:rPr>
        <w:t>于</w:t>
      </w:r>
      <w:r>
        <w:rPr>
          <w:rFonts w:hint="default" w:ascii="Times New Roman" w:hAnsi="Times New Roman" w:eastAsia="方正小标宋简体" w:cs="Times New Roman"/>
          <w:sz w:val="44"/>
          <w:szCs w:val="44"/>
        </w:rPr>
        <w:t>广州市花都区202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年度第</w:t>
      </w:r>
      <w:r>
        <w:rPr>
          <w:rFonts w:hint="default" w:ascii="Times New Roman" w:hAnsi="Times New Roman" w:eastAsia="方正小标宋简体" w:cs="Times New Roman"/>
          <w:sz w:val="44"/>
          <w:szCs w:val="44"/>
          <w:lang w:val="en-US" w:eastAsia="zh-CN"/>
        </w:rPr>
        <w:t>十四</w:t>
      </w:r>
      <w:r>
        <w:rPr>
          <w:rFonts w:hint="default" w:ascii="Times New Roman" w:hAnsi="Times New Roman" w:eastAsia="方正小标宋简体" w:cs="Times New Roman"/>
          <w:sz w:val="44"/>
          <w:szCs w:val="44"/>
        </w:rPr>
        <w:t>批次城镇建设用地（广州市花都区临空数智港</w:t>
      </w:r>
    </w:p>
    <w:p w14:paraId="57F06CFA">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东翼启动区地块</w:t>
      </w:r>
      <w:r>
        <w:rPr>
          <w:rFonts w:hint="default"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用地）项目</w:t>
      </w:r>
    </w:p>
    <w:p w14:paraId="3D918ADD">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被征地农民养老保障方案</w:t>
      </w:r>
    </w:p>
    <w:p w14:paraId="0BAD2498">
      <w:pPr>
        <w:ind w:firstLine="640" w:firstLineChars="200"/>
        <w:rPr>
          <w:rFonts w:hint="default" w:ascii="Times New Roman" w:hAnsi="Times New Roman" w:cs="Times New Roman"/>
          <w:kern w:val="0"/>
          <w:shd w:val="clear" w:color="auto" w:fill="FFFFFF"/>
          <w:lang w:bidi="ar"/>
        </w:rPr>
      </w:pPr>
    </w:p>
    <w:p w14:paraId="4C0C7E09">
      <w:pPr>
        <w:ind w:firstLine="640" w:firstLineChars="200"/>
        <w:rPr>
          <w:rFonts w:hint="default" w:ascii="Times New Roman" w:hAnsi="Times New Roman" w:cs="Times New Roman"/>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cs="Times New Roman"/>
          <w:kern w:val="0"/>
          <w:shd w:val="clear" w:color="auto" w:fill="FFFFFF"/>
          <w:lang w:eastAsia="zh-CN" w:bidi="ar"/>
        </w:rPr>
        <w:t>、《</w:t>
      </w:r>
      <w:r>
        <w:rPr>
          <w:rFonts w:hint="eastAsia" w:cs="Times New Roman"/>
          <w:kern w:val="0"/>
          <w:shd w:val="clear" w:color="auto" w:fill="FFFFFF"/>
          <w:lang w:val="en-US" w:eastAsia="zh-CN" w:bidi="ar"/>
        </w:rPr>
        <w:t>广东省人力资源和社会保障厅人社厅关于进一步做好被征地农民社会保障工作完善相关政策的通知》（粤人社规</w:t>
      </w:r>
      <w:r>
        <w:rPr>
          <w:rFonts w:hint="default" w:ascii="Times New Roman" w:hAnsi="Times New Roman" w:cs="Times New Roman"/>
          <w:kern w:val="0"/>
          <w:shd w:val="clear" w:color="auto" w:fill="FFFFFF"/>
          <w:lang w:bidi="ar"/>
        </w:rPr>
        <w:t>〔202</w:t>
      </w:r>
      <w:r>
        <w:rPr>
          <w:rFonts w:hint="eastAsia" w:cs="Times New Roman"/>
          <w:kern w:val="0"/>
          <w:shd w:val="clear" w:color="auto" w:fill="FFFFFF"/>
          <w:lang w:val="en-US" w:eastAsia="zh-CN" w:bidi="ar"/>
        </w:rPr>
        <w:t>5</w:t>
      </w:r>
      <w:r>
        <w:rPr>
          <w:rFonts w:hint="default" w:ascii="Times New Roman" w:hAnsi="Times New Roman" w:cs="Times New Roman"/>
          <w:kern w:val="0"/>
          <w:shd w:val="clear" w:color="auto" w:fill="FFFFFF"/>
          <w:lang w:bidi="ar"/>
        </w:rPr>
        <w:t>〕</w:t>
      </w:r>
      <w:r>
        <w:rPr>
          <w:rFonts w:hint="eastAsia" w:cs="Times New Roman"/>
          <w:kern w:val="0"/>
          <w:shd w:val="clear" w:color="auto" w:fill="FFFFFF"/>
          <w:lang w:val="en-US" w:eastAsia="zh-CN" w:bidi="ar"/>
        </w:rPr>
        <w:t>48</w:t>
      </w:r>
      <w:r>
        <w:rPr>
          <w:rFonts w:hint="default" w:ascii="Times New Roman" w:hAnsi="Times New Roman" w:cs="Times New Roman"/>
          <w:kern w:val="0"/>
          <w:shd w:val="clear" w:color="auto" w:fill="FFFFFF"/>
          <w:lang w:bidi="ar"/>
        </w:rPr>
        <w:t>号）和《广州市人民政府办公厅转发关于进一步完善我省被征地农民养老保障政策意见的通知》（穗府办规〔2022〕3号）等有关规定，拟定</w:t>
      </w:r>
      <w:r>
        <w:rPr>
          <w:rFonts w:hint="default" w:ascii="Times New Roman" w:hAnsi="Times New Roman" w:cs="Times New Roman"/>
        </w:rPr>
        <w:t>广州市花都区202</w:t>
      </w:r>
      <w:r>
        <w:rPr>
          <w:rFonts w:hint="default" w:ascii="Times New Roman" w:hAnsi="Times New Roman" w:cs="Times New Roman"/>
          <w:lang w:val="en-US" w:eastAsia="zh-CN"/>
        </w:rPr>
        <w:t>6</w:t>
      </w:r>
      <w:r>
        <w:rPr>
          <w:rFonts w:hint="default" w:ascii="Times New Roman" w:hAnsi="Times New Roman" w:cs="Times New Roman"/>
        </w:rPr>
        <w:t>年度第</w:t>
      </w:r>
      <w:r>
        <w:rPr>
          <w:rFonts w:hint="default" w:ascii="Times New Roman" w:hAnsi="Times New Roman" w:cs="Times New Roman"/>
          <w:lang w:val="en-US" w:eastAsia="zh-CN"/>
        </w:rPr>
        <w:t>十四</w:t>
      </w:r>
      <w:r>
        <w:rPr>
          <w:rFonts w:hint="default" w:ascii="Times New Roman" w:hAnsi="Times New Roman" w:cs="Times New Roman"/>
        </w:rPr>
        <w:t>批次城镇建设用地（广州市花都区临空数智港东翼启动区地块</w:t>
      </w:r>
      <w:r>
        <w:rPr>
          <w:rFonts w:hint="default" w:ascii="Times New Roman" w:hAnsi="Times New Roman" w:cs="Times New Roman"/>
          <w:lang w:val="en-US" w:eastAsia="zh-CN"/>
        </w:rPr>
        <w:t>二</w:t>
      </w:r>
      <w:r>
        <w:rPr>
          <w:rFonts w:hint="default" w:ascii="Times New Roman" w:hAnsi="Times New Roman" w:cs="Times New Roman"/>
        </w:rPr>
        <w:t>用地）被征地农民养老保障方案如下：</w:t>
      </w:r>
    </w:p>
    <w:p w14:paraId="164BF2D1">
      <w:pPr>
        <w:ind w:firstLine="640" w:firstLineChars="200"/>
        <w:rPr>
          <w:rFonts w:hint="default" w:ascii="Times New Roman" w:hAnsi="Times New Roman" w:cs="Times New Roman"/>
        </w:rPr>
      </w:pPr>
      <w:r>
        <w:rPr>
          <w:rFonts w:hint="default" w:ascii="Times New Roman" w:hAnsi="Times New Roman" w:cs="Times New Roman"/>
        </w:rPr>
        <w:t>一、对广州市花都区202</w:t>
      </w:r>
      <w:r>
        <w:rPr>
          <w:rFonts w:hint="default" w:ascii="Times New Roman" w:hAnsi="Times New Roman" w:cs="Times New Roman"/>
          <w:lang w:val="en-US" w:eastAsia="zh-CN"/>
        </w:rPr>
        <w:t>6</w:t>
      </w:r>
      <w:r>
        <w:rPr>
          <w:rFonts w:hint="default" w:ascii="Times New Roman" w:hAnsi="Times New Roman" w:cs="Times New Roman"/>
        </w:rPr>
        <w:t>年度第</w:t>
      </w:r>
      <w:r>
        <w:rPr>
          <w:rFonts w:hint="default" w:ascii="Times New Roman" w:hAnsi="Times New Roman" w:cs="Times New Roman"/>
          <w:lang w:val="en-US" w:eastAsia="zh-CN"/>
        </w:rPr>
        <w:t>十四</w:t>
      </w:r>
      <w:r>
        <w:rPr>
          <w:rFonts w:hint="default" w:ascii="Times New Roman" w:hAnsi="Times New Roman" w:cs="Times New Roman"/>
        </w:rPr>
        <w:t>批次城镇建设用地（广州市花都区临空数智港东翼启动区地块</w:t>
      </w:r>
      <w:r>
        <w:rPr>
          <w:rFonts w:hint="default" w:ascii="Times New Roman" w:hAnsi="Times New Roman" w:cs="Times New Roman"/>
          <w:lang w:val="en-US" w:eastAsia="zh-CN"/>
        </w:rPr>
        <w:t>二</w:t>
      </w:r>
      <w:r>
        <w:rPr>
          <w:rFonts w:hint="default" w:ascii="Times New Roman" w:hAnsi="Times New Roman" w:cs="Times New Roman"/>
        </w:rPr>
        <w:t>用地）项目涉及的被征地农民实施社会养老保障。</w:t>
      </w:r>
    </w:p>
    <w:p w14:paraId="7AAF03B4">
      <w:pPr>
        <w:spacing w:line="560" w:lineRule="exact"/>
        <w:ind w:firstLine="640" w:firstLineChars="200"/>
        <w:rPr>
          <w:rFonts w:hint="default" w:ascii="Times New Roman" w:hAnsi="Times New Roman" w:cs="Times New Roman"/>
        </w:rPr>
      </w:pPr>
      <w:r>
        <w:rPr>
          <w:rFonts w:hint="default" w:ascii="Times New Roman" w:hAnsi="Times New Roman" w:cs="Times New Roman"/>
          <w:kern w:val="0"/>
          <w:shd w:val="clear" w:color="auto" w:fill="FFFFFF"/>
          <w:lang w:bidi="ar"/>
        </w:rPr>
        <w:t>二、征地社保费筹集。</w:t>
      </w:r>
      <w:r>
        <w:rPr>
          <w:rFonts w:hint="default" w:ascii="Times New Roman" w:hAnsi="Times New Roman" w:cs="Times New Roman"/>
        </w:rPr>
        <w:t>依据市规划和自然资源局花都区分局提供情况，</w:t>
      </w:r>
      <w:r>
        <w:rPr>
          <w:rFonts w:hint="default" w:ascii="Times New Roman" w:hAnsi="Times New Roman" w:cs="Times New Roman"/>
          <w:kern w:val="0"/>
          <w:shd w:val="clear" w:color="auto" w:fill="FFFFFF"/>
          <w:lang w:bidi="ar"/>
        </w:rPr>
        <w:t>该项目征收</w:t>
      </w:r>
      <w:r>
        <w:rPr>
          <w:rFonts w:hint="default" w:ascii="Times New Roman" w:hAnsi="Times New Roman" w:cs="Times New Roman"/>
        </w:rPr>
        <w:t>我区花东镇港头村、吉星村、四联村</w:t>
      </w:r>
      <w:r>
        <w:rPr>
          <w:rFonts w:hint="default" w:ascii="Times New Roman" w:hAnsi="Times New Roman" w:cs="Times New Roman"/>
          <w:kern w:val="0"/>
          <w:shd w:val="clear" w:color="auto" w:fill="FFFFFF"/>
          <w:lang w:bidi="ar"/>
        </w:rPr>
        <w:t>土地面积共</w:t>
      </w:r>
      <w:r>
        <w:rPr>
          <w:rFonts w:hint="default" w:ascii="Times New Roman" w:hAnsi="Times New Roman" w:cs="Times New Roman"/>
          <w:kern w:val="0"/>
          <w:shd w:val="clear" w:color="auto" w:fill="FFFFFF"/>
          <w:lang w:val="en-US" w:eastAsia="zh-CN" w:bidi="ar"/>
        </w:rPr>
        <w:t>410.0910</w:t>
      </w:r>
      <w:r>
        <w:rPr>
          <w:rFonts w:hint="default" w:ascii="Times New Roman" w:hAnsi="Times New Roman" w:cs="Times New Roman"/>
          <w:kern w:val="0"/>
          <w:shd w:val="clear" w:color="auto" w:fill="FFFFFF"/>
          <w:lang w:bidi="ar"/>
        </w:rPr>
        <w:t>亩，</w:t>
      </w:r>
      <w:r>
        <w:rPr>
          <w:rFonts w:hint="default" w:ascii="Times New Roman" w:hAnsi="Times New Roman" w:cs="Times New Roman"/>
        </w:rPr>
        <w:t>其中</w:t>
      </w:r>
      <w:r>
        <w:rPr>
          <w:rFonts w:hint="default" w:ascii="Times New Roman" w:hAnsi="Times New Roman" w:cs="Times New Roman"/>
          <w:lang w:val="en-US" w:eastAsia="zh-CN"/>
        </w:rPr>
        <w:t>37.2795</w:t>
      </w:r>
      <w:r>
        <w:rPr>
          <w:rFonts w:hint="default" w:ascii="Times New Roman" w:hAnsi="Times New Roman" w:cs="Times New Roman"/>
        </w:rPr>
        <w:t>亩属于农村集体经济组织留用地，征地双方目前尚未</w:t>
      </w:r>
      <w:r>
        <w:rPr>
          <w:rFonts w:hint="eastAsia" w:cs="Times New Roman"/>
          <w:lang w:val="en-US" w:eastAsia="zh-CN"/>
        </w:rPr>
        <w:t>完成</w:t>
      </w:r>
      <w:r>
        <w:rPr>
          <w:rFonts w:hint="default" w:ascii="Times New Roman" w:hAnsi="Times New Roman" w:cs="Times New Roman"/>
        </w:rPr>
        <w:t>征地补偿安置协议签订。该项目征地社保费应按2.14万元/亩的标准计提（即征地补偿安置方案制定时，我区每亩平均征收农用地综合区片地价13.33万元/亩的16%），其中</w:t>
      </w:r>
      <w:r>
        <w:rPr>
          <w:rFonts w:hint="default" w:ascii="Times New Roman" w:hAnsi="Times New Roman" w:cs="Times New Roman"/>
          <w:lang w:val="en-US" w:eastAsia="zh-CN"/>
        </w:rPr>
        <w:t>37.2795</w:t>
      </w:r>
      <w:r>
        <w:rPr>
          <w:rFonts w:hint="default" w:ascii="Times New Roman" w:hAnsi="Times New Roman" w:cs="Times New Roman"/>
        </w:rPr>
        <w:t>亩属于农村集体经济组织留用地，按规定不计提征地社保费，需计提费用共</w:t>
      </w:r>
      <w:r>
        <w:rPr>
          <w:rFonts w:hint="eastAsia" w:cs="Times New Roman"/>
          <w:highlight w:val="none"/>
          <w:shd w:val="clear"/>
          <w:lang w:val="en-US" w:eastAsia="zh-CN"/>
        </w:rPr>
        <w:t>797.86</w:t>
      </w:r>
      <w:r>
        <w:rPr>
          <w:rFonts w:hint="default" w:ascii="Times New Roman" w:hAnsi="Times New Roman" w:cs="Times New Roman"/>
        </w:rPr>
        <w:t>万元由征地主体（用地单位）一次性预存入我区人力资源社会保障部门开设的</w:t>
      </w:r>
      <w:r>
        <w:rPr>
          <w:rFonts w:hint="eastAsia" w:cs="Times New Roman"/>
          <w:lang w:eastAsia="zh-CN"/>
        </w:rPr>
        <w:t>“</w:t>
      </w:r>
      <w:r>
        <w:rPr>
          <w:rFonts w:hint="default" w:ascii="Times New Roman" w:hAnsi="Times New Roman" w:cs="Times New Roman"/>
        </w:rPr>
        <w:t>收缴被征地农民养老保障资金过渡户</w:t>
      </w:r>
      <w:r>
        <w:rPr>
          <w:rFonts w:hint="eastAsia" w:cs="Times New Roman"/>
          <w:lang w:eastAsia="zh-CN"/>
        </w:rPr>
        <w:t>”</w:t>
      </w:r>
      <w:r>
        <w:rPr>
          <w:rFonts w:hint="default" w:ascii="Times New Roman" w:hAnsi="Times New Roman" w:cs="Times New Roman"/>
        </w:rPr>
        <w:t>，单列计提并计入征地成本，纳入工程项目概算。</w:t>
      </w:r>
    </w:p>
    <w:p w14:paraId="272E110B">
      <w:pPr>
        <w:ind w:firstLine="640" w:firstLineChars="200"/>
        <w:rPr>
          <w:rFonts w:hint="default" w:ascii="Times New Roman" w:hAnsi="Times New Roman" w:eastAsia="黑体" w:cs="Times New Roman"/>
        </w:rPr>
      </w:pPr>
      <w:r>
        <w:rPr>
          <w:rFonts w:hint="default" w:ascii="Times New Roman" w:hAnsi="Times New Roman" w:cs="Times New Roman"/>
        </w:rPr>
        <w:t>三、征地社保费补贴对象。按</w:t>
      </w:r>
      <w:r>
        <w:rPr>
          <w:rFonts w:hint="eastAsia" w:cs="Times New Roman"/>
          <w:lang w:eastAsia="zh-CN"/>
        </w:rPr>
        <w:t>“</w:t>
      </w:r>
      <w:r>
        <w:rPr>
          <w:rFonts w:hint="default" w:ascii="Times New Roman" w:hAnsi="Times New Roman" w:cs="Times New Roman"/>
        </w:rPr>
        <w:t>筹集资金分配到户，户内平均分配到人</w:t>
      </w:r>
      <w:r>
        <w:rPr>
          <w:rFonts w:hint="eastAsia" w:cs="Times New Roman"/>
          <w:lang w:eastAsia="zh-CN"/>
        </w:rPr>
        <w:t>”</w:t>
      </w:r>
      <w:r>
        <w:rPr>
          <w:rFonts w:hint="default" w:ascii="Times New Roman" w:hAnsi="Times New Roman" w:cs="Times New Roman"/>
        </w:rPr>
        <w:t>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bidi="ar"/>
        </w:rPr>
        <w:t xml:space="preserve"> </w:t>
      </w:r>
      <w:r>
        <w:rPr>
          <w:rFonts w:hint="default" w:ascii="Times New Roman" w:hAnsi="Times New Roman" w:eastAsia="黑体" w:cs="Times New Roman"/>
        </w:rPr>
        <w:t xml:space="preserve">   </w:t>
      </w:r>
    </w:p>
    <w:p w14:paraId="03A21F46">
      <w:pPr>
        <w:ind w:firstLine="640" w:firstLineChars="200"/>
        <w:rPr>
          <w:rFonts w:hint="default" w:ascii="Times New Roman" w:hAnsi="Times New Roman" w:cs="Times New Roman"/>
        </w:rPr>
      </w:pPr>
      <w:r>
        <w:rPr>
          <w:rFonts w:hint="default" w:ascii="Times New Roman" w:hAnsi="Times New Roman" w:cs="Times New Roman"/>
        </w:rPr>
        <w:t>四、征地社保费分配。</w:t>
      </w:r>
    </w:p>
    <w:p w14:paraId="65DB7CFC">
      <w:pPr>
        <w:ind w:firstLine="640" w:firstLineChars="200"/>
        <w:rPr>
          <w:rFonts w:hint="default" w:ascii="Times New Roman" w:hAnsi="Times New Roman" w:cs="Times New Roman"/>
        </w:rPr>
      </w:pPr>
      <w:r>
        <w:rPr>
          <w:rFonts w:hint="eastAsia" w:cs="Times New Roman"/>
          <w:lang w:eastAsia="zh-CN"/>
        </w:rPr>
        <w:t>（</w:t>
      </w:r>
      <w:r>
        <w:rPr>
          <w:rFonts w:hint="eastAsia" w:cs="Times New Roman"/>
          <w:lang w:val="en-US" w:eastAsia="zh-CN"/>
        </w:rPr>
        <w:t>一）</w:t>
      </w:r>
      <w:r>
        <w:rPr>
          <w:rFonts w:hint="default" w:ascii="Times New Roman" w:hAnsi="Times New Roman" w:cs="Times New Roman"/>
        </w:rPr>
        <w:t>征地社保费专款用于被征地农民的基本养老保险补贴。</w:t>
      </w:r>
    </w:p>
    <w:p w14:paraId="590D9211">
      <w:pPr>
        <w:pStyle w:val="2"/>
        <w:rPr>
          <w:rFonts w:hint="eastAsia" w:cs="Times New Roman"/>
          <w:lang w:val="en-US" w:eastAsia="zh-CN"/>
        </w:rPr>
      </w:pPr>
      <w:r>
        <w:rPr>
          <w:rFonts w:hint="eastAsia" w:cs="Times New Roman"/>
          <w:lang w:val="en-US" w:eastAsia="zh-CN"/>
        </w:rPr>
        <w:t>1.被征地农民参加城乡居民基本养老保险的，征地社保费按规定划入社会保障基金财政专户后计入本人个人账户，合并形成新的个人账户储存额，按规定计息。</w:t>
      </w:r>
    </w:p>
    <w:p w14:paraId="6F299EE8">
      <w:pPr>
        <w:pStyle w:val="2"/>
        <w:rPr>
          <w:rFonts w:hint="eastAsia" w:cs="Times New Roman"/>
          <w:lang w:val="en-US" w:eastAsia="zh-CN"/>
        </w:rPr>
      </w:pPr>
      <w:r>
        <w:rPr>
          <w:rFonts w:hint="eastAsia" w:cs="Times New Roman"/>
          <w:lang w:val="en-US" w:eastAsia="zh-CN"/>
        </w:rPr>
        <w:t>2.被征地农民已经领取城乡居民基本养老金的，将征地社保费一次性划入其个人账户，重核个人账户养老金，从次月起按新标准发放。</w:t>
      </w:r>
    </w:p>
    <w:p w14:paraId="6EAAED00">
      <w:pPr>
        <w:pStyle w:val="2"/>
        <w:rPr>
          <w:rFonts w:hint="eastAsia" w:cs="Times New Roman"/>
          <w:lang w:val="en-US" w:eastAsia="zh-CN"/>
        </w:rPr>
      </w:pPr>
      <w:r>
        <w:rPr>
          <w:rFonts w:hint="eastAsia" w:cs="Times New Roman"/>
          <w:lang w:val="en-US" w:eastAsia="zh-CN"/>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07681A5A">
      <w:pPr>
        <w:pStyle w:val="2"/>
        <w:rPr>
          <w:rFonts w:hint="default" w:cs="Times New Roman"/>
          <w:lang w:val="en-US" w:eastAsia="zh-CN"/>
        </w:rPr>
      </w:pPr>
      <w:r>
        <w:rPr>
          <w:rFonts w:hint="eastAsia" w:cs="Times New Roman"/>
          <w:lang w:val="en-US" w:eastAsia="zh-CN"/>
        </w:rPr>
        <w:t>4.被征地农民已经领取城镇职工基本养老金的，将征地社保费一次性支付本人。</w:t>
      </w:r>
    </w:p>
    <w:p w14:paraId="2D50A831">
      <w:pPr>
        <w:ind w:firstLine="640" w:firstLineChars="200"/>
        <w:rPr>
          <w:rFonts w:hint="default" w:ascii="Times New Roman" w:hAnsi="Times New Roman" w:cs="Times New Roman"/>
        </w:rPr>
      </w:pPr>
      <w:r>
        <w:rPr>
          <w:rFonts w:hint="eastAsia" w:cs="Times New Roman"/>
          <w:lang w:eastAsia="zh-CN"/>
        </w:rPr>
        <w:t>（</w:t>
      </w:r>
      <w:r>
        <w:rPr>
          <w:rFonts w:hint="eastAsia" w:cs="Times New Roman"/>
          <w:lang w:val="en-US" w:eastAsia="zh-CN"/>
        </w:rPr>
        <w:t>二）</w:t>
      </w:r>
      <w:r>
        <w:rPr>
          <w:rFonts w:hint="default" w:ascii="Times New Roman" w:hAnsi="Times New Roman" w:cs="Times New Roman"/>
        </w:rPr>
        <w:t>落实</w:t>
      </w:r>
      <w:r>
        <w:rPr>
          <w:rFonts w:hint="eastAsia" w:cs="Times New Roman"/>
          <w:bCs/>
          <w:lang w:eastAsia="zh-CN"/>
        </w:rPr>
        <w:t>“</w:t>
      </w:r>
      <w:r>
        <w:rPr>
          <w:rFonts w:hint="default" w:ascii="Times New Roman" w:hAnsi="Times New Roman" w:cs="Times New Roman"/>
          <w:bCs/>
        </w:rPr>
        <w:t>征地社保费与征地安置补偿费同期拨付</w:t>
      </w:r>
      <w:r>
        <w:rPr>
          <w:rFonts w:hint="eastAsia" w:cs="Times New Roman"/>
          <w:bCs/>
          <w:lang w:eastAsia="zh-CN"/>
        </w:rPr>
        <w:t>”</w:t>
      </w:r>
      <w:r>
        <w:rPr>
          <w:rFonts w:hint="default" w:ascii="Times New Roman" w:hAnsi="Times New Roman" w:cs="Times New Roman"/>
          <w:bCs/>
        </w:rPr>
        <w:t>和</w:t>
      </w:r>
      <w:r>
        <w:rPr>
          <w:rFonts w:hint="eastAsia" w:cs="Times New Roman"/>
          <w:bCs/>
          <w:lang w:eastAsia="zh-CN"/>
        </w:rPr>
        <w:t>“</w:t>
      </w:r>
      <w:r>
        <w:rPr>
          <w:rFonts w:hint="default" w:ascii="Times New Roman" w:hAnsi="Times New Roman" w:cs="Times New Roman"/>
          <w:bCs/>
        </w:rPr>
        <w:t>在项目获批后3个月内完成资金分配工作，落实参保到人</w:t>
      </w:r>
      <w:r>
        <w:rPr>
          <w:rFonts w:hint="eastAsia" w:cs="Times New Roman"/>
          <w:bCs/>
          <w:lang w:eastAsia="zh-CN"/>
        </w:rPr>
        <w:t>”</w:t>
      </w:r>
      <w:r>
        <w:rPr>
          <w:rFonts w:hint="default" w:ascii="Times New Roman" w:hAnsi="Times New Roman" w:cs="Times New Roman"/>
          <w:bCs/>
        </w:rPr>
        <w:t>的有关规定。</w:t>
      </w:r>
      <w:r>
        <w:rPr>
          <w:rFonts w:hint="default" w:ascii="Times New Roman" w:hAnsi="Times New Roman" w:cs="Times New Roman"/>
        </w:rPr>
        <w:t>乡镇人民政府（街道办事处）按规定牵头做好被征地农民的失地面积及纳入征地社保费补贴范围的人数和对象审核、报送工作，及时报送所属社会保险经办部门办理社保手续。</w:t>
      </w:r>
    </w:p>
    <w:p w14:paraId="0A512770">
      <w:pPr>
        <w:pStyle w:val="2"/>
        <w:ind w:firstLine="0" w:firstLineChars="0"/>
        <w:rPr>
          <w:rFonts w:hint="default" w:ascii="Times New Roman" w:hAnsi="Times New Roman" w:cs="Times New Roman"/>
        </w:rPr>
      </w:pPr>
    </w:p>
    <w:p w14:paraId="666299AD">
      <w:pPr>
        <w:spacing w:line="560" w:lineRule="exact"/>
        <w:ind w:firstLine="640" w:firstLineChars="200"/>
        <w:rPr>
          <w:rFonts w:hint="default" w:ascii="Times New Roman" w:hAnsi="Times New Roman" w:cs="Times New Roman"/>
        </w:rPr>
      </w:pPr>
      <w:r>
        <w:rPr>
          <w:rFonts w:hint="default" w:ascii="Times New Roman" w:hAnsi="Times New Roman" w:cs="Times New Roman"/>
        </w:rPr>
        <w:t>附件：征地土地和养老保障情况表</w:t>
      </w:r>
    </w:p>
    <w:p w14:paraId="6FAE5F35">
      <w:pPr>
        <w:ind w:firstLine="640" w:firstLineChars="200"/>
        <w:rPr>
          <w:rFonts w:hint="default" w:ascii="Times New Roman" w:hAnsi="Times New Roman" w:cs="Times New Roman"/>
        </w:rPr>
      </w:pPr>
      <w:r>
        <w:rPr>
          <w:rFonts w:hint="default" w:ascii="Times New Roman" w:hAnsi="Times New Roman" w:cs="Times New Roman"/>
        </w:rPr>
        <w:t xml:space="preserve">  </w:t>
      </w:r>
      <w:bookmarkStart w:id="0" w:name="_GoBack"/>
      <w:bookmarkEnd w:id="0"/>
    </w:p>
    <w:p w14:paraId="56A8EAFF">
      <w:pPr>
        <w:pStyle w:val="2"/>
        <w:ind w:left="0" w:leftChars="0" w:firstLine="0" w:firstLineChars="0"/>
        <w:rPr>
          <w:rFonts w:hint="default" w:ascii="Times New Roman" w:hAnsi="Times New Roman" w:cs="Times New Roman"/>
        </w:rPr>
      </w:pPr>
    </w:p>
    <w:p w14:paraId="294C1F71">
      <w:pPr>
        <w:ind w:firstLine="2880" w:firstLineChars="900"/>
        <w:rPr>
          <w:rFonts w:hint="default" w:ascii="Times New Roman" w:hAnsi="Times New Roman" w:cs="Times New Roman"/>
        </w:rPr>
      </w:pPr>
      <w:r>
        <w:rPr>
          <w:rFonts w:hint="default" w:ascii="Times New Roman" w:hAnsi="Times New Roman" w:cs="Times New Roman"/>
        </w:rPr>
        <w:t>广州市花都区人力资源和社会保障局</w:t>
      </w:r>
    </w:p>
    <w:p w14:paraId="685EED9E">
      <w:pPr>
        <w:rPr>
          <w:rFonts w:hint="default" w:ascii="Times New Roman" w:hAnsi="Times New Roman" w:cs="Times New Roman"/>
          <w:kern w:val="0"/>
          <w:shd w:val="clear" w:color="auto" w:fill="FFFFFF"/>
          <w:lang w:bidi="ar"/>
        </w:rPr>
      </w:pPr>
      <w:r>
        <w:rPr>
          <w:rFonts w:hint="default" w:ascii="Times New Roman" w:hAnsi="Times New Roman" w:cs="Times New Roman"/>
        </w:rPr>
        <w:t xml:space="preserve">                           202</w:t>
      </w:r>
      <w:r>
        <w:rPr>
          <w:rFonts w:hint="default" w:ascii="Times New Roman" w:hAnsi="Times New Roman" w:cs="Times New Roman"/>
          <w:lang w:val="en-US" w:eastAsia="zh-CN"/>
        </w:rPr>
        <w:t>6</w:t>
      </w:r>
      <w:r>
        <w:rPr>
          <w:rFonts w:hint="default" w:ascii="Times New Roman" w:hAnsi="Times New Roman" w:cs="Times New Roman"/>
        </w:rPr>
        <w:t>年</w:t>
      </w:r>
      <w:r>
        <w:rPr>
          <w:rFonts w:hint="eastAsia" w:cs="Times New Roman"/>
          <w:lang w:val="en-US" w:eastAsia="zh-CN"/>
        </w:rPr>
        <w:t>4</w:t>
      </w:r>
      <w:r>
        <w:rPr>
          <w:rFonts w:hint="default" w:ascii="Times New Roman" w:hAnsi="Times New Roman" w:cs="Times New Roman"/>
        </w:rPr>
        <w:t>月</w:t>
      </w:r>
      <w:r>
        <w:rPr>
          <w:rFonts w:hint="eastAsia" w:cs="Times New Roman"/>
          <w:kern w:val="0"/>
          <w:shd w:val="clear" w:color="auto" w:fill="FFFFFF"/>
          <w:lang w:val="en-US" w:eastAsia="zh-CN" w:bidi="ar"/>
        </w:rPr>
        <w:t>15</w:t>
      </w:r>
      <w:r>
        <w:rPr>
          <w:rFonts w:hint="default" w:ascii="Times New Roman" w:hAnsi="Times New Roman" w:cs="Times New Roman"/>
          <w:kern w:val="0"/>
          <w:shd w:val="clear" w:color="auto" w:fill="FFFFFF"/>
          <w:lang w:bidi="ar"/>
        </w:rPr>
        <w:t>日</w:t>
      </w:r>
    </w:p>
    <w:p w14:paraId="1CCEAFC0">
      <w:pPr>
        <w:pStyle w:val="2"/>
        <w:ind w:firstLine="640"/>
        <w:rPr>
          <w:rFonts w:hint="default" w:ascii="Times New Roman" w:hAnsi="Times New Roman" w:cs="Times New Roman"/>
          <w:color w:val="FF0000"/>
          <w:kern w:val="0"/>
          <w:shd w:val="clear" w:color="auto" w:fill="FFFFFF"/>
          <w:lang w:bidi="ar"/>
        </w:rPr>
      </w:pPr>
    </w:p>
    <w:p w14:paraId="680EBC86">
      <w:pPr>
        <w:rPr>
          <w:rFonts w:hint="default" w:ascii="Times New Roman" w:hAnsi="Times New Roman" w:eastAsia="黑体" w:cs="Times New Roman"/>
          <w:highlight w:val="none"/>
        </w:rPr>
      </w:pPr>
      <w:r>
        <w:rPr>
          <w:rFonts w:hint="default" w:ascii="Times New Roman" w:hAnsi="Times New Roman" w:eastAsia="黑体" w:cs="Times New Roman"/>
          <w:highlight w:val="none"/>
        </w:rPr>
        <w:br w:type="page"/>
      </w:r>
    </w:p>
    <w:p w14:paraId="468D770F">
      <w:pPr>
        <w:rPr>
          <w:rFonts w:hint="default" w:ascii="Times New Roman" w:hAnsi="Times New Roman" w:eastAsia="黑体" w:cs="Times New Roman"/>
          <w:highlight w:val="none"/>
        </w:rPr>
      </w:pPr>
      <w:r>
        <w:rPr>
          <w:rFonts w:hint="default" w:ascii="Times New Roman" w:hAnsi="Times New Roman" w:eastAsia="黑体" w:cs="Times New Roman"/>
          <w:highlight w:val="none"/>
        </w:rPr>
        <w:t>附件</w:t>
      </w:r>
    </w:p>
    <w:p w14:paraId="3C1D6453">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4E9E90E1">
      <w:pPr>
        <w:spacing w:line="600" w:lineRule="exact"/>
        <w:ind w:right="770"/>
        <w:jc w:val="right"/>
        <w:rPr>
          <w:rFonts w:hint="default" w:ascii="Times New Roman" w:hAnsi="Times New Roman" w:cs="Times New Roman"/>
          <w:sz w:val="24"/>
          <w:szCs w:val="24"/>
        </w:rPr>
      </w:pPr>
      <w:r>
        <w:rPr>
          <w:rFonts w:hint="default" w:ascii="Times New Roman" w:hAnsi="Times New Roman" w:cs="Times New Roman"/>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92"/>
        <w:gridCol w:w="2920"/>
        <w:gridCol w:w="1573"/>
        <w:gridCol w:w="1920"/>
        <w:gridCol w:w="1401"/>
      </w:tblGrid>
      <w:tr w14:paraId="04F704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40" w:hRule="atLeast"/>
          <w:jc w:val="center"/>
        </w:trPr>
        <w:tc>
          <w:tcPr>
            <w:tcW w:w="3812" w:type="dxa"/>
            <w:gridSpan w:val="2"/>
            <w:tcBorders>
              <w:top w:val="single" w:color="auto" w:sz="4" w:space="0"/>
              <w:bottom w:val="single" w:color="auto" w:sz="4" w:space="0"/>
              <w:right w:val="single" w:color="auto" w:sz="4" w:space="0"/>
            </w:tcBorders>
            <w:vAlign w:val="center"/>
          </w:tcPr>
          <w:p w14:paraId="3428E194">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573" w:type="dxa"/>
            <w:tcBorders>
              <w:top w:val="single" w:color="auto" w:sz="4" w:space="0"/>
              <w:left w:val="single" w:color="auto" w:sz="4" w:space="0"/>
              <w:bottom w:val="single" w:color="auto" w:sz="4" w:space="0"/>
              <w:right w:val="single" w:color="auto" w:sz="4" w:space="0"/>
            </w:tcBorders>
            <w:vAlign w:val="center"/>
          </w:tcPr>
          <w:p w14:paraId="1F62BC71">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E3EE14">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401" w:type="dxa"/>
            <w:tcBorders>
              <w:top w:val="single" w:color="auto" w:sz="4" w:space="0"/>
              <w:left w:val="single" w:color="auto" w:sz="4" w:space="0"/>
              <w:bottom w:val="single" w:color="auto" w:sz="4" w:space="0"/>
              <w:right w:val="single" w:color="auto" w:sz="4" w:space="0"/>
            </w:tcBorders>
            <w:vAlign w:val="center"/>
          </w:tcPr>
          <w:p w14:paraId="78CB6269">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w:t>
            </w:r>
          </w:p>
          <w:p w14:paraId="2831437E">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社保费</w:t>
            </w:r>
          </w:p>
        </w:tc>
      </w:tr>
      <w:tr w14:paraId="4B674C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2" w:hRule="atLeast"/>
          <w:jc w:val="center"/>
        </w:trPr>
        <w:tc>
          <w:tcPr>
            <w:tcW w:w="892" w:type="dxa"/>
            <w:vMerge w:val="restart"/>
            <w:tcBorders>
              <w:top w:val="single" w:color="auto" w:sz="4" w:space="0"/>
              <w:right w:val="single" w:color="auto" w:sz="4" w:space="0"/>
            </w:tcBorders>
            <w:vAlign w:val="center"/>
          </w:tcPr>
          <w:p w14:paraId="13757B06">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花东镇</w:t>
            </w: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D4FB3">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港头村第二经济合作社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3CE75A8C">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27.3285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898281">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2.484</w:t>
            </w:r>
          </w:p>
        </w:tc>
        <w:tc>
          <w:tcPr>
            <w:tcW w:w="1401" w:type="dxa"/>
            <w:tcBorders>
              <w:top w:val="single" w:color="auto" w:sz="4" w:space="0"/>
              <w:left w:val="single" w:color="auto" w:sz="4" w:space="0"/>
              <w:bottom w:val="single" w:color="auto" w:sz="4" w:space="0"/>
              <w:right w:val="single" w:color="auto" w:sz="4" w:space="0"/>
            </w:tcBorders>
            <w:vAlign w:val="center"/>
          </w:tcPr>
          <w:p w14:paraId="406059F1">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53.17</w:t>
            </w:r>
          </w:p>
        </w:tc>
      </w:tr>
      <w:tr w14:paraId="4D183E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2" w:hRule="atLeast"/>
          <w:jc w:val="center"/>
        </w:trPr>
        <w:tc>
          <w:tcPr>
            <w:tcW w:w="892" w:type="dxa"/>
            <w:vMerge w:val="continue"/>
            <w:tcBorders>
              <w:right w:val="single" w:color="auto" w:sz="4" w:space="0"/>
            </w:tcBorders>
            <w:vAlign w:val="center"/>
          </w:tcPr>
          <w:p w14:paraId="54F029BE">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7E2F2C">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港头村</w:t>
            </w:r>
            <w:r>
              <w:rPr>
                <w:rFonts w:hint="eastAsia" w:cs="Times New Roman"/>
                <w:color w:val="000000"/>
                <w:kern w:val="0"/>
                <w:sz w:val="24"/>
                <w:szCs w:val="24"/>
                <w:lang w:val="en-US" w:eastAsia="zh-CN" w:bidi="ar"/>
              </w:rPr>
              <w:t>港头</w:t>
            </w:r>
            <w:r>
              <w:rPr>
                <w:rFonts w:hint="default" w:ascii="Times New Roman" w:hAnsi="Times New Roman" w:cs="Times New Roman"/>
                <w:color w:val="000000"/>
                <w:kern w:val="0"/>
                <w:sz w:val="24"/>
                <w:szCs w:val="24"/>
                <w:lang w:bidi="ar"/>
              </w:rPr>
              <w:t>经济</w:t>
            </w:r>
            <w:r>
              <w:rPr>
                <w:rFonts w:hint="eastAsia" w:cs="Times New Roman"/>
                <w:color w:val="000000"/>
                <w:kern w:val="0"/>
                <w:sz w:val="24"/>
                <w:szCs w:val="24"/>
                <w:lang w:val="en-US" w:eastAsia="zh-CN" w:bidi="ar"/>
              </w:rPr>
              <w:t>联合</w:t>
            </w:r>
            <w:r>
              <w:rPr>
                <w:rFonts w:hint="default" w:ascii="Times New Roman" w:hAnsi="Times New Roman" w:cs="Times New Roman"/>
                <w:color w:val="000000"/>
                <w:kern w:val="0"/>
                <w:sz w:val="24"/>
                <w:szCs w:val="24"/>
                <w:lang w:bidi="ar"/>
              </w:rPr>
              <w:t>社</w:t>
            </w:r>
          </w:p>
        </w:tc>
        <w:tc>
          <w:tcPr>
            <w:tcW w:w="1573" w:type="dxa"/>
            <w:tcBorders>
              <w:top w:val="single" w:color="auto" w:sz="4" w:space="0"/>
              <w:left w:val="single" w:color="auto" w:sz="4" w:space="0"/>
              <w:bottom w:val="single" w:color="auto" w:sz="4" w:space="0"/>
              <w:right w:val="single" w:color="auto" w:sz="4" w:space="0"/>
            </w:tcBorders>
            <w:vAlign w:val="center"/>
          </w:tcPr>
          <w:p w14:paraId="2FE479F6">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3.366</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279713">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0.306</w:t>
            </w:r>
          </w:p>
        </w:tc>
        <w:tc>
          <w:tcPr>
            <w:tcW w:w="1401" w:type="dxa"/>
            <w:tcBorders>
              <w:top w:val="single" w:color="auto" w:sz="4" w:space="0"/>
              <w:left w:val="single" w:color="auto" w:sz="4" w:space="0"/>
              <w:bottom w:val="single" w:color="auto" w:sz="4" w:space="0"/>
              <w:right w:val="single" w:color="auto" w:sz="4" w:space="0"/>
            </w:tcBorders>
            <w:vAlign w:val="center"/>
          </w:tcPr>
          <w:p w14:paraId="68DBA365">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6.55</w:t>
            </w:r>
          </w:p>
        </w:tc>
      </w:tr>
      <w:tr w14:paraId="3E6586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88" w:hRule="atLeast"/>
          <w:jc w:val="center"/>
        </w:trPr>
        <w:tc>
          <w:tcPr>
            <w:tcW w:w="892" w:type="dxa"/>
            <w:vMerge w:val="continue"/>
            <w:tcBorders>
              <w:right w:val="single" w:color="auto" w:sz="4" w:space="0"/>
            </w:tcBorders>
            <w:vAlign w:val="center"/>
          </w:tcPr>
          <w:p w14:paraId="361BA775">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F3FAE9">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吉星村第二经济合作社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73ED9A74">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21.552</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4B3DD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1.959</w:t>
            </w:r>
          </w:p>
        </w:tc>
        <w:tc>
          <w:tcPr>
            <w:tcW w:w="1401" w:type="dxa"/>
            <w:tcBorders>
              <w:top w:val="single" w:color="auto" w:sz="4" w:space="0"/>
              <w:left w:val="single" w:color="auto" w:sz="4" w:space="0"/>
              <w:bottom w:val="single" w:color="auto" w:sz="4" w:space="0"/>
              <w:right w:val="single" w:color="auto" w:sz="4" w:space="0"/>
            </w:tcBorders>
            <w:vAlign w:val="center"/>
          </w:tcPr>
          <w:p w14:paraId="4A912C83">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41.93</w:t>
            </w:r>
          </w:p>
        </w:tc>
      </w:tr>
      <w:tr w14:paraId="7D7431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26" w:hRule="atLeast"/>
          <w:jc w:val="center"/>
        </w:trPr>
        <w:tc>
          <w:tcPr>
            <w:tcW w:w="892" w:type="dxa"/>
            <w:vMerge w:val="continue"/>
            <w:tcBorders>
              <w:right w:val="single" w:color="auto" w:sz="4" w:space="0"/>
            </w:tcBorders>
            <w:vAlign w:val="center"/>
          </w:tcPr>
          <w:p w14:paraId="57EDEE40">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D9E9EF">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吉星村第一经济合作社、第二经济合作社、第三经济合作社（共有）</w:t>
            </w:r>
          </w:p>
        </w:tc>
        <w:tc>
          <w:tcPr>
            <w:tcW w:w="1573" w:type="dxa"/>
            <w:tcBorders>
              <w:top w:val="single" w:color="auto" w:sz="4" w:space="0"/>
              <w:left w:val="single" w:color="auto" w:sz="4" w:space="0"/>
              <w:bottom w:val="single" w:color="auto" w:sz="4" w:space="0"/>
              <w:right w:val="single" w:color="auto" w:sz="4" w:space="0"/>
            </w:tcBorders>
            <w:vAlign w:val="center"/>
          </w:tcPr>
          <w:p w14:paraId="0BF06A1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52.7385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23B0C8">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4.794</w:t>
            </w:r>
          </w:p>
        </w:tc>
        <w:tc>
          <w:tcPr>
            <w:tcW w:w="1401" w:type="dxa"/>
            <w:tcBorders>
              <w:top w:val="single" w:color="auto" w:sz="4" w:space="0"/>
              <w:left w:val="single" w:color="auto" w:sz="4" w:space="0"/>
              <w:bottom w:val="single" w:color="auto" w:sz="4" w:space="0"/>
              <w:right w:val="single" w:color="auto" w:sz="4" w:space="0"/>
            </w:tcBorders>
            <w:vAlign w:val="center"/>
          </w:tcPr>
          <w:p w14:paraId="71419EC0">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102.61</w:t>
            </w:r>
          </w:p>
        </w:tc>
      </w:tr>
      <w:tr w14:paraId="7BF88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92" w:type="dxa"/>
            <w:vMerge w:val="continue"/>
            <w:tcBorders>
              <w:right w:val="single" w:color="auto" w:sz="4" w:space="0"/>
            </w:tcBorders>
            <w:vAlign w:val="center"/>
          </w:tcPr>
          <w:p w14:paraId="6D9BB7D1">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E7AF4F">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吉星村第一经济合作社、第二经济合作社（共有）</w:t>
            </w:r>
          </w:p>
        </w:tc>
        <w:tc>
          <w:tcPr>
            <w:tcW w:w="1573" w:type="dxa"/>
            <w:tcBorders>
              <w:top w:val="single" w:color="auto" w:sz="4" w:space="0"/>
              <w:left w:val="single" w:color="auto" w:sz="4" w:space="0"/>
              <w:bottom w:val="single" w:color="auto" w:sz="4" w:space="0"/>
              <w:right w:val="single" w:color="auto" w:sz="4" w:space="0"/>
            </w:tcBorders>
            <w:vAlign w:val="center"/>
          </w:tcPr>
          <w:p w14:paraId="183D3036">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33.72</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6F382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3.066</w:t>
            </w:r>
          </w:p>
        </w:tc>
        <w:tc>
          <w:tcPr>
            <w:tcW w:w="1401" w:type="dxa"/>
            <w:tcBorders>
              <w:top w:val="single" w:color="auto" w:sz="4" w:space="0"/>
              <w:left w:val="single" w:color="auto" w:sz="4" w:space="0"/>
              <w:bottom w:val="single" w:color="auto" w:sz="4" w:space="0"/>
              <w:right w:val="single" w:color="auto" w:sz="4" w:space="0"/>
            </w:tcBorders>
            <w:vAlign w:val="center"/>
          </w:tcPr>
          <w:p w14:paraId="0BCABE70">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65.6</w:t>
            </w:r>
          </w:p>
        </w:tc>
      </w:tr>
      <w:tr w14:paraId="11629B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2" w:hRule="atLeast"/>
          <w:jc w:val="center"/>
        </w:trPr>
        <w:tc>
          <w:tcPr>
            <w:tcW w:w="892" w:type="dxa"/>
            <w:vMerge w:val="continue"/>
            <w:tcBorders>
              <w:right w:val="single" w:color="auto" w:sz="4" w:space="0"/>
            </w:tcBorders>
            <w:vAlign w:val="center"/>
          </w:tcPr>
          <w:p w14:paraId="08AECB09">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AFCFF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吉星村第三经济合作社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57C928D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25.956</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2FB2B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2.3595</w:t>
            </w:r>
          </w:p>
        </w:tc>
        <w:tc>
          <w:tcPr>
            <w:tcW w:w="1401" w:type="dxa"/>
            <w:tcBorders>
              <w:top w:val="single" w:color="auto" w:sz="4" w:space="0"/>
              <w:left w:val="single" w:color="auto" w:sz="4" w:space="0"/>
              <w:bottom w:val="single" w:color="auto" w:sz="4" w:space="0"/>
              <w:right w:val="single" w:color="auto" w:sz="4" w:space="0"/>
            </w:tcBorders>
            <w:vAlign w:val="center"/>
          </w:tcPr>
          <w:p w14:paraId="4FE7F9A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50.5</w:t>
            </w:r>
          </w:p>
        </w:tc>
      </w:tr>
      <w:tr w14:paraId="6CC7A1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41" w:hRule="atLeast"/>
          <w:jc w:val="center"/>
        </w:trPr>
        <w:tc>
          <w:tcPr>
            <w:tcW w:w="892" w:type="dxa"/>
            <w:vMerge w:val="continue"/>
            <w:tcBorders>
              <w:right w:val="single" w:color="auto" w:sz="4" w:space="0"/>
            </w:tcBorders>
            <w:vAlign w:val="center"/>
          </w:tcPr>
          <w:p w14:paraId="0EEC7B98">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4E268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cs="Times New Roman"/>
                <w:color w:val="000000"/>
                <w:kern w:val="0"/>
                <w:sz w:val="24"/>
                <w:szCs w:val="24"/>
                <w:lang w:bidi="ar"/>
              </w:rPr>
              <w:t>吉星村第一经济合作社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4E29A8C4">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39.4395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3C543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3.585</w:t>
            </w:r>
          </w:p>
        </w:tc>
        <w:tc>
          <w:tcPr>
            <w:tcW w:w="1401" w:type="dxa"/>
            <w:tcBorders>
              <w:top w:val="single" w:color="auto" w:sz="4" w:space="0"/>
              <w:left w:val="single" w:color="auto" w:sz="4" w:space="0"/>
              <w:bottom w:val="single" w:color="auto" w:sz="4" w:space="0"/>
              <w:right w:val="single" w:color="auto" w:sz="4" w:space="0"/>
            </w:tcBorders>
            <w:vAlign w:val="center"/>
          </w:tcPr>
          <w:p w14:paraId="3877F390">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76.73</w:t>
            </w:r>
          </w:p>
        </w:tc>
      </w:tr>
      <w:tr w14:paraId="4889C0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93" w:hRule="atLeast"/>
          <w:jc w:val="center"/>
        </w:trPr>
        <w:tc>
          <w:tcPr>
            <w:tcW w:w="892" w:type="dxa"/>
            <w:vMerge w:val="continue"/>
            <w:tcBorders>
              <w:right w:val="single" w:color="auto" w:sz="4" w:space="0"/>
            </w:tcBorders>
            <w:vAlign w:val="center"/>
          </w:tcPr>
          <w:p w14:paraId="418C4CB9">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683424">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吉星村</w:t>
            </w:r>
            <w:r>
              <w:rPr>
                <w:rFonts w:hint="eastAsia" w:cs="Times New Roman"/>
                <w:color w:val="000000"/>
                <w:kern w:val="0"/>
                <w:sz w:val="24"/>
                <w:szCs w:val="24"/>
                <w:lang w:val="en-US" w:eastAsia="zh-CN" w:bidi="ar"/>
              </w:rPr>
              <w:t>吉星</w:t>
            </w:r>
            <w:r>
              <w:rPr>
                <w:rFonts w:hint="default" w:ascii="Times New Roman" w:hAnsi="Times New Roman" w:cs="Times New Roman"/>
                <w:color w:val="000000"/>
                <w:kern w:val="0"/>
                <w:sz w:val="24"/>
                <w:szCs w:val="24"/>
                <w:lang w:bidi="ar"/>
              </w:rPr>
              <w:t>经济联合社</w:t>
            </w:r>
          </w:p>
        </w:tc>
        <w:tc>
          <w:tcPr>
            <w:tcW w:w="1573" w:type="dxa"/>
            <w:tcBorders>
              <w:top w:val="single" w:color="auto" w:sz="4" w:space="0"/>
              <w:left w:val="single" w:color="auto" w:sz="4" w:space="0"/>
              <w:bottom w:val="single" w:color="auto" w:sz="4" w:space="0"/>
              <w:right w:val="single" w:color="auto" w:sz="4" w:space="0"/>
            </w:tcBorders>
            <w:vAlign w:val="center"/>
          </w:tcPr>
          <w:p w14:paraId="3EA5283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14.4195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0579D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1.311</w:t>
            </w:r>
          </w:p>
        </w:tc>
        <w:tc>
          <w:tcPr>
            <w:tcW w:w="1401" w:type="dxa"/>
            <w:tcBorders>
              <w:top w:val="single" w:color="auto" w:sz="4" w:space="0"/>
              <w:left w:val="single" w:color="auto" w:sz="4" w:space="0"/>
              <w:bottom w:val="single" w:color="auto" w:sz="4" w:space="0"/>
              <w:right w:val="single" w:color="auto" w:sz="4" w:space="0"/>
            </w:tcBorders>
            <w:vAlign w:val="center"/>
          </w:tcPr>
          <w:p w14:paraId="2A20D4A0">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28.06</w:t>
            </w:r>
          </w:p>
        </w:tc>
      </w:tr>
      <w:tr w14:paraId="46CAAA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5" w:hRule="atLeast"/>
          <w:jc w:val="center"/>
        </w:trPr>
        <w:tc>
          <w:tcPr>
            <w:tcW w:w="892" w:type="dxa"/>
            <w:vMerge w:val="continue"/>
            <w:tcBorders>
              <w:right w:val="single" w:color="auto" w:sz="4" w:space="0"/>
            </w:tcBorders>
            <w:vAlign w:val="center"/>
          </w:tcPr>
          <w:p w14:paraId="67AE18C0">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86AEC">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四联村第</w:t>
            </w:r>
            <w:r>
              <w:rPr>
                <w:rFonts w:hint="eastAsia" w:cs="Times New Roman"/>
                <w:color w:val="000000"/>
                <w:kern w:val="0"/>
                <w:sz w:val="24"/>
                <w:szCs w:val="24"/>
                <w:lang w:val="en-US" w:eastAsia="zh-CN" w:bidi="ar"/>
              </w:rPr>
              <w:t>十</w:t>
            </w:r>
            <w:r>
              <w:rPr>
                <w:rFonts w:hint="default" w:ascii="Times New Roman" w:hAnsi="Times New Roman" w:cs="Times New Roman"/>
                <w:color w:val="000000"/>
                <w:kern w:val="0"/>
                <w:sz w:val="24"/>
                <w:szCs w:val="24"/>
                <w:lang w:bidi="ar"/>
              </w:rPr>
              <w:t>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012AAC2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27.9045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1B853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2.5365</w:t>
            </w:r>
          </w:p>
        </w:tc>
        <w:tc>
          <w:tcPr>
            <w:tcW w:w="1401" w:type="dxa"/>
            <w:tcBorders>
              <w:top w:val="single" w:color="auto" w:sz="4" w:space="0"/>
              <w:left w:val="single" w:color="auto" w:sz="4" w:space="0"/>
              <w:bottom w:val="single" w:color="auto" w:sz="4" w:space="0"/>
              <w:right w:val="single" w:color="auto" w:sz="4" w:space="0"/>
            </w:tcBorders>
            <w:vAlign w:val="center"/>
          </w:tcPr>
          <w:p w14:paraId="03D2BDD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cs="Times New Roman"/>
                <w:color w:val="000000"/>
                <w:kern w:val="0"/>
                <w:sz w:val="24"/>
                <w:szCs w:val="24"/>
                <w:lang w:val="en-US" w:eastAsia="zh-CN" w:bidi="ar"/>
              </w:rPr>
              <w:t>54.29</w:t>
            </w:r>
          </w:p>
        </w:tc>
      </w:tr>
      <w:tr w14:paraId="7D77D7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92" w:type="dxa"/>
            <w:vMerge w:val="continue"/>
            <w:tcBorders>
              <w:right w:val="single" w:color="auto" w:sz="4" w:space="0"/>
            </w:tcBorders>
            <w:vAlign w:val="center"/>
          </w:tcPr>
          <w:p w14:paraId="680129DF">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FB0371E">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四联村第</w:t>
            </w:r>
            <w:r>
              <w:rPr>
                <w:rFonts w:hint="eastAsia" w:cs="Times New Roman"/>
                <w:color w:val="000000"/>
                <w:kern w:val="0"/>
                <w:sz w:val="24"/>
                <w:szCs w:val="24"/>
                <w:lang w:val="en-US" w:eastAsia="zh-CN" w:bidi="ar"/>
              </w:rPr>
              <w:t>十</w:t>
            </w:r>
            <w:r>
              <w:rPr>
                <w:rFonts w:hint="default" w:ascii="Times New Roman" w:hAnsi="Times New Roman" w:cs="Times New Roman"/>
                <w:color w:val="000000"/>
                <w:kern w:val="0"/>
                <w:sz w:val="24"/>
                <w:szCs w:val="24"/>
                <w:lang w:bidi="ar"/>
              </w:rPr>
              <w:t>一经济合作社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763F2AF9">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48.1935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6091AF">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4.3815</w:t>
            </w:r>
          </w:p>
        </w:tc>
        <w:tc>
          <w:tcPr>
            <w:tcW w:w="1401" w:type="dxa"/>
            <w:tcBorders>
              <w:top w:val="single" w:color="auto" w:sz="4" w:space="0"/>
              <w:left w:val="single" w:color="auto" w:sz="4" w:space="0"/>
              <w:bottom w:val="single" w:color="auto" w:sz="4" w:space="0"/>
              <w:right w:val="single" w:color="auto" w:sz="4" w:space="0"/>
            </w:tcBorders>
            <w:vAlign w:val="center"/>
          </w:tcPr>
          <w:p w14:paraId="43C1D0E6">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93.76</w:t>
            </w:r>
          </w:p>
        </w:tc>
      </w:tr>
      <w:tr w14:paraId="6F5106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92" w:type="dxa"/>
            <w:vMerge w:val="continue"/>
            <w:tcBorders>
              <w:right w:val="single" w:color="auto" w:sz="4" w:space="0"/>
            </w:tcBorders>
            <w:vAlign w:val="center"/>
          </w:tcPr>
          <w:p w14:paraId="799EC1EA">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822451">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四联村第</w:t>
            </w:r>
            <w:r>
              <w:rPr>
                <w:rFonts w:hint="eastAsia" w:cs="Times New Roman"/>
                <w:color w:val="000000"/>
                <w:kern w:val="0"/>
                <w:sz w:val="24"/>
                <w:szCs w:val="24"/>
                <w:lang w:val="en-US" w:eastAsia="zh-CN" w:bidi="ar"/>
              </w:rPr>
              <w:t>四</w:t>
            </w:r>
            <w:r>
              <w:rPr>
                <w:rFonts w:hint="default" w:ascii="Times New Roman" w:hAnsi="Times New Roman" w:cs="Times New Roman"/>
                <w:color w:val="000000"/>
                <w:kern w:val="0"/>
                <w:sz w:val="24"/>
                <w:szCs w:val="24"/>
                <w:lang w:bidi="ar"/>
              </w:rPr>
              <w:t>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4DB8306F">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8.244</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26F994">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0.75</w:t>
            </w:r>
          </w:p>
        </w:tc>
        <w:tc>
          <w:tcPr>
            <w:tcW w:w="1401" w:type="dxa"/>
            <w:tcBorders>
              <w:top w:val="single" w:color="auto" w:sz="4" w:space="0"/>
              <w:left w:val="single" w:color="auto" w:sz="4" w:space="0"/>
              <w:bottom w:val="single" w:color="auto" w:sz="4" w:space="0"/>
              <w:right w:val="single" w:color="auto" w:sz="4" w:space="0"/>
            </w:tcBorders>
            <w:vAlign w:val="center"/>
          </w:tcPr>
          <w:p w14:paraId="284161C8">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16.04</w:t>
            </w:r>
          </w:p>
        </w:tc>
      </w:tr>
      <w:tr w14:paraId="0BFB1F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92" w:type="dxa"/>
            <w:vMerge w:val="continue"/>
            <w:tcBorders>
              <w:right w:val="single" w:color="auto" w:sz="4" w:space="0"/>
            </w:tcBorders>
            <w:vAlign w:val="center"/>
          </w:tcPr>
          <w:p w14:paraId="126ABCB8">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D69A1D">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color w:val="000000"/>
                <w:kern w:val="0"/>
                <w:sz w:val="24"/>
                <w:szCs w:val="24"/>
                <w:lang w:bidi="ar"/>
              </w:rPr>
              <w:t>四联村第一经济合作社</w:t>
            </w:r>
          </w:p>
        </w:tc>
        <w:tc>
          <w:tcPr>
            <w:tcW w:w="1573" w:type="dxa"/>
            <w:tcBorders>
              <w:top w:val="single" w:color="auto" w:sz="4" w:space="0"/>
              <w:left w:val="single" w:color="auto" w:sz="4" w:space="0"/>
              <w:bottom w:val="single" w:color="auto" w:sz="4" w:space="0"/>
              <w:right w:val="single" w:color="auto" w:sz="4" w:space="0"/>
            </w:tcBorders>
            <w:vAlign w:val="center"/>
          </w:tcPr>
          <w:p w14:paraId="7AE31802">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88.8405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1CFDE2">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8.076</w:t>
            </w:r>
          </w:p>
        </w:tc>
        <w:tc>
          <w:tcPr>
            <w:tcW w:w="1401" w:type="dxa"/>
            <w:tcBorders>
              <w:top w:val="single" w:color="auto" w:sz="4" w:space="0"/>
              <w:left w:val="single" w:color="auto" w:sz="4" w:space="0"/>
              <w:bottom w:val="single" w:color="auto" w:sz="4" w:space="0"/>
              <w:right w:val="single" w:color="auto" w:sz="4" w:space="0"/>
            </w:tcBorders>
            <w:vAlign w:val="center"/>
          </w:tcPr>
          <w:p w14:paraId="7444BC5D">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172.84</w:t>
            </w:r>
          </w:p>
        </w:tc>
      </w:tr>
      <w:tr w14:paraId="369FFD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92" w:type="dxa"/>
            <w:vMerge w:val="continue"/>
            <w:tcBorders>
              <w:right w:val="single" w:color="auto" w:sz="4" w:space="0"/>
            </w:tcBorders>
            <w:vAlign w:val="center"/>
          </w:tcPr>
          <w:p w14:paraId="3C061B06">
            <w:pPr>
              <w:jc w:val="center"/>
              <w:rPr>
                <w:rFonts w:hint="default" w:ascii="Times New Roman" w:hAnsi="Times New Roman" w:cs="Times New Roman"/>
                <w:kern w:val="0"/>
                <w:sz w:val="24"/>
                <w:szCs w:val="24"/>
              </w:rPr>
            </w:pPr>
          </w:p>
        </w:tc>
        <w:tc>
          <w:tcPr>
            <w:tcW w:w="2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479C48">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四联村四联经济联合社</w:t>
            </w:r>
          </w:p>
        </w:tc>
        <w:tc>
          <w:tcPr>
            <w:tcW w:w="1573" w:type="dxa"/>
            <w:tcBorders>
              <w:top w:val="single" w:color="auto" w:sz="4" w:space="0"/>
              <w:left w:val="single" w:color="auto" w:sz="4" w:space="0"/>
              <w:bottom w:val="single" w:color="auto" w:sz="4" w:space="0"/>
              <w:right w:val="single" w:color="auto" w:sz="4" w:space="0"/>
            </w:tcBorders>
            <w:vAlign w:val="center"/>
          </w:tcPr>
          <w:p w14:paraId="43434D99">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18.3885</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04BF73">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1.671</w:t>
            </w:r>
          </w:p>
        </w:tc>
        <w:tc>
          <w:tcPr>
            <w:tcW w:w="1401" w:type="dxa"/>
            <w:tcBorders>
              <w:top w:val="single" w:color="auto" w:sz="4" w:space="0"/>
              <w:left w:val="single" w:color="auto" w:sz="4" w:space="0"/>
              <w:bottom w:val="single" w:color="auto" w:sz="4" w:space="0"/>
              <w:right w:val="single" w:color="auto" w:sz="4" w:space="0"/>
            </w:tcBorders>
            <w:vAlign w:val="center"/>
          </w:tcPr>
          <w:p w14:paraId="39316297">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35.78</w:t>
            </w:r>
          </w:p>
        </w:tc>
      </w:tr>
      <w:tr w14:paraId="0910BB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812" w:type="dxa"/>
            <w:gridSpan w:val="2"/>
            <w:tcBorders>
              <w:top w:val="single" w:color="auto" w:sz="4" w:space="0"/>
              <w:bottom w:val="single" w:color="auto" w:sz="4" w:space="0"/>
              <w:right w:val="single" w:color="auto" w:sz="4" w:space="0"/>
            </w:tcBorders>
            <w:vAlign w:val="center"/>
          </w:tcPr>
          <w:p w14:paraId="6FF07892">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573" w:type="dxa"/>
            <w:tcBorders>
              <w:top w:val="single" w:color="auto" w:sz="4" w:space="0"/>
              <w:left w:val="single" w:color="auto" w:sz="4" w:space="0"/>
              <w:bottom w:val="single" w:color="auto" w:sz="4" w:space="0"/>
              <w:right w:val="single" w:color="auto" w:sz="4" w:space="0"/>
            </w:tcBorders>
            <w:vAlign w:val="center"/>
          </w:tcPr>
          <w:p w14:paraId="774E7E42">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410.091</w:t>
            </w:r>
          </w:p>
        </w:tc>
        <w:tc>
          <w:tcPr>
            <w:tcW w:w="192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4EA8AF">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37.2795</w:t>
            </w:r>
          </w:p>
        </w:tc>
        <w:tc>
          <w:tcPr>
            <w:tcW w:w="1401" w:type="dxa"/>
            <w:tcBorders>
              <w:top w:val="single" w:color="auto" w:sz="4" w:space="0"/>
              <w:left w:val="single" w:color="auto" w:sz="4" w:space="0"/>
              <w:bottom w:val="single" w:color="auto" w:sz="4" w:space="0"/>
              <w:right w:val="single" w:color="auto" w:sz="4" w:space="0"/>
            </w:tcBorders>
            <w:vAlign w:val="center"/>
          </w:tcPr>
          <w:p w14:paraId="79A9FB0B">
            <w:pPr>
              <w:widowControl/>
              <w:jc w:val="center"/>
              <w:textAlignment w:val="center"/>
              <w:rPr>
                <w:rFonts w:hint="default" w:ascii="Times New Roman" w:hAnsi="Times New Roman" w:eastAsia="仿宋_GB2312" w:cs="Times New Roman"/>
                <w:kern w:val="0"/>
                <w:sz w:val="24"/>
                <w:szCs w:val="24"/>
                <w:lang w:val="en-US" w:eastAsia="zh-CN"/>
              </w:rPr>
            </w:pPr>
            <w:r>
              <w:rPr>
                <w:rFonts w:hint="eastAsia" w:cs="Times New Roman"/>
                <w:color w:val="000000"/>
                <w:kern w:val="0"/>
                <w:sz w:val="24"/>
                <w:szCs w:val="24"/>
                <w:lang w:val="en-US" w:eastAsia="zh-CN" w:bidi="ar"/>
              </w:rPr>
              <w:t>797.86</w:t>
            </w:r>
          </w:p>
        </w:tc>
      </w:tr>
    </w:tbl>
    <w:p w14:paraId="249DBA9D">
      <w:pPr>
        <w:spacing w:line="320" w:lineRule="exact"/>
        <w:ind w:right="210"/>
        <w:jc w:val="left"/>
        <w:rPr>
          <w:rFonts w:hint="default" w:ascii="Times New Roman" w:hAnsi="Times New Roman" w:cs="Times New Roman"/>
        </w:rPr>
      </w:pPr>
      <w:r>
        <w:rPr>
          <w:rFonts w:hint="default" w:ascii="Times New Roman" w:hAnsi="Times New Roman" w:cs="Times New Roman"/>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F57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5C54">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785C54">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2315DB"/>
    <w:rsid w:val="0090691B"/>
    <w:rsid w:val="00A744EF"/>
    <w:rsid w:val="00AF2E3E"/>
    <w:rsid w:val="01B044C6"/>
    <w:rsid w:val="028E33DF"/>
    <w:rsid w:val="033451DB"/>
    <w:rsid w:val="06144AD1"/>
    <w:rsid w:val="079D5A99"/>
    <w:rsid w:val="08464AE7"/>
    <w:rsid w:val="08EC2A03"/>
    <w:rsid w:val="093A3CC5"/>
    <w:rsid w:val="0B9B6E50"/>
    <w:rsid w:val="0C1E49CC"/>
    <w:rsid w:val="0CE91961"/>
    <w:rsid w:val="0E3140D7"/>
    <w:rsid w:val="12341E88"/>
    <w:rsid w:val="13714D70"/>
    <w:rsid w:val="15CE692B"/>
    <w:rsid w:val="18A233DB"/>
    <w:rsid w:val="19E21F71"/>
    <w:rsid w:val="1AF31AFF"/>
    <w:rsid w:val="1B6337E0"/>
    <w:rsid w:val="20B67655"/>
    <w:rsid w:val="211F0DDA"/>
    <w:rsid w:val="215E252F"/>
    <w:rsid w:val="23141564"/>
    <w:rsid w:val="28702BCD"/>
    <w:rsid w:val="2A015B73"/>
    <w:rsid w:val="2B686551"/>
    <w:rsid w:val="2B972895"/>
    <w:rsid w:val="2DAF2E8F"/>
    <w:rsid w:val="30DE5184"/>
    <w:rsid w:val="35251B04"/>
    <w:rsid w:val="35F746F3"/>
    <w:rsid w:val="36EF346B"/>
    <w:rsid w:val="383071EA"/>
    <w:rsid w:val="38813E6C"/>
    <w:rsid w:val="39751ECE"/>
    <w:rsid w:val="39831A8C"/>
    <w:rsid w:val="3A09021C"/>
    <w:rsid w:val="3A9535F9"/>
    <w:rsid w:val="3CFF5EF7"/>
    <w:rsid w:val="3DAA0446"/>
    <w:rsid w:val="3E3629B5"/>
    <w:rsid w:val="3E44283A"/>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C0C1474"/>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1430</Words>
  <Characters>1645</Characters>
  <Lines>13</Lines>
  <Paragraphs>3</Paragraphs>
  <TotalTime>33</TotalTime>
  <ScaleCrop>false</ScaleCrop>
  <LinksUpToDate>false</LinksUpToDate>
  <CharactersWithSpaces>1703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2026-04-30T06:48:40Z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74993D179FAB434CA25E9BEC280F1538_13</vt:lpwstr>
  </property>
  <property fmtid="{D5CDD505-2E9C-101B-9397-08002B2CF9AE}" pid="4" name="KSOTemplateDocerSaveRecord">
    <vt:lpwstr>eyJoZGlkIjoiYjQ0ODE4ZmIyZjEyZWUwYzEzMjRjMGJiZjI1OWQ0MGEifQ==</vt:lpwstr>
  </property>
</Properties>
</file>