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50B84">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粤府土审（02）〔202</w:t>
      </w: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66</w:t>
      </w:r>
      <w:r>
        <w:rPr>
          <w:rFonts w:hint="default" w:ascii="Times New Roman" w:hAnsi="Times New Roman" w:eastAsia="仿宋_GB2312" w:cs="Times New Roman"/>
          <w:sz w:val="32"/>
          <w:szCs w:val="32"/>
          <w:highlight w:val="none"/>
          <w:lang w:val="en-US" w:eastAsia="zh-CN"/>
        </w:rPr>
        <w:t>号</w:t>
      </w:r>
    </w:p>
    <w:p w14:paraId="0E009EA9">
      <w:pPr>
        <w:spacing w:line="560" w:lineRule="exact"/>
        <w:jc w:val="center"/>
        <w:rPr>
          <w:rFonts w:hint="eastAsia" w:ascii="方正小标宋_GBK" w:hAnsi="方正小标宋_GBK" w:eastAsia="方正小标宋_GBK" w:cs="方正小标宋_GBK"/>
          <w:bCs/>
          <w:color w:val="auto"/>
          <w:sz w:val="44"/>
          <w:szCs w:val="44"/>
        </w:rPr>
      </w:pPr>
    </w:p>
    <w:p w14:paraId="24F25031">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广东省人民政府关于广州市花都区20</w:t>
      </w:r>
      <w:r>
        <w:rPr>
          <w:rFonts w:hint="eastAsia" w:ascii="方正小标宋_GBK" w:hAnsi="方正小标宋_GBK" w:eastAsia="方正小标宋_GBK" w:cs="方正小标宋_GBK"/>
          <w:bCs/>
          <w:color w:val="auto"/>
          <w:sz w:val="44"/>
          <w:szCs w:val="44"/>
          <w:lang w:val="en-US" w:eastAsia="zh-CN"/>
        </w:rPr>
        <w:t>24</w:t>
      </w:r>
      <w:r>
        <w:rPr>
          <w:rFonts w:hint="eastAsia" w:ascii="方正小标宋_GBK" w:hAnsi="方正小标宋_GBK" w:eastAsia="方正小标宋_GBK" w:cs="方正小标宋_GBK"/>
          <w:bCs/>
          <w:color w:val="auto"/>
          <w:sz w:val="44"/>
          <w:szCs w:val="44"/>
        </w:rPr>
        <w:t>年度</w:t>
      </w:r>
    </w:p>
    <w:p w14:paraId="4CF20779">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rPr>
        <w:t>第</w:t>
      </w:r>
      <w:r>
        <w:rPr>
          <w:rFonts w:hint="eastAsia" w:ascii="方正小标宋_GBK" w:hAnsi="方正小标宋_GBK" w:eastAsia="方正小标宋_GBK" w:cs="方正小标宋_GBK"/>
          <w:bCs/>
          <w:color w:val="auto"/>
          <w:sz w:val="44"/>
          <w:szCs w:val="44"/>
          <w:lang w:val="en-US" w:eastAsia="zh-CN"/>
        </w:rPr>
        <w:t>九十一</w:t>
      </w:r>
      <w:r>
        <w:rPr>
          <w:rFonts w:hint="eastAsia" w:ascii="方正小标宋_GBK" w:hAnsi="方正小标宋_GBK" w:eastAsia="方正小标宋_GBK" w:cs="方正小标宋_GBK"/>
          <w:bCs/>
          <w:color w:val="auto"/>
          <w:sz w:val="44"/>
          <w:szCs w:val="44"/>
        </w:rPr>
        <w:t>批次城镇建设用地</w:t>
      </w:r>
      <w:r>
        <w:rPr>
          <w:rFonts w:hint="eastAsia" w:ascii="方正小标宋_GBK" w:hAnsi="方正小标宋_GBK" w:eastAsia="方正小标宋_GBK" w:cs="方正小标宋_GBK"/>
          <w:bCs/>
          <w:color w:val="auto"/>
          <w:sz w:val="44"/>
          <w:szCs w:val="44"/>
          <w:u w:val="none"/>
        </w:rPr>
        <w:t>的批复</w:t>
      </w:r>
    </w:p>
    <w:p w14:paraId="2BCEE0F8">
      <w:pPr>
        <w:widowControl/>
        <w:spacing w:line="600" w:lineRule="exact"/>
        <w:jc w:val="center"/>
        <w:textAlignment w:val="baseline"/>
        <w:rPr>
          <w:rFonts w:hint="eastAsia"/>
          <w:b/>
          <w:color w:val="auto"/>
          <w:sz w:val="32"/>
          <w:szCs w:val="32"/>
          <w:u w:val="none"/>
        </w:rPr>
      </w:pPr>
    </w:p>
    <w:p w14:paraId="61FB12F2">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14:paraId="281A28C1">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《广州市花都区人民政府关于申请广州市花都区2024年度第九十一批次城镇建设用地土地征收的请示》（花府字</w:t>
      </w:r>
      <w:r>
        <w:rPr>
          <w:rFonts w:hint="default" w:ascii="仿宋_GB2312" w:hAnsi="仿宋_GB2312" w:eastAsia="仿宋_GB2312" w:cs="仿宋_GB2312"/>
          <w:color w:val="auto"/>
          <w:sz w:val="32"/>
          <w:szCs w:val="32"/>
          <w:lang w:val="en-US" w:eastAsia="zh-CN"/>
        </w:rPr>
        <w:t>〔202</w:t>
      </w:r>
      <w:r>
        <w:rPr>
          <w:rFonts w:hint="eastAsia" w:ascii="仿宋_GB2312" w:hAnsi="仿宋_GB2312" w:eastAsia="仿宋_GB2312" w:cs="仿宋_GB2312"/>
          <w:color w:val="auto"/>
          <w:sz w:val="32"/>
          <w:szCs w:val="32"/>
          <w:lang w:val="en-US" w:eastAsia="zh-CN"/>
        </w:rPr>
        <w:t>6</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10</w:t>
      </w:r>
      <w:r>
        <w:rPr>
          <w:rFonts w:hint="default" w:ascii="仿宋_GB2312" w:hAnsi="仿宋_GB2312" w:eastAsia="仿宋_GB2312" w:cs="仿宋_GB2312"/>
          <w:color w:val="auto"/>
          <w:sz w:val="32"/>
          <w:szCs w:val="32"/>
          <w:lang w:val="en-US" w:eastAsia="zh-CN"/>
        </w:rPr>
        <w:t>号</w:t>
      </w:r>
      <w:r>
        <w:rPr>
          <w:rFonts w:hint="eastAsia" w:ascii="仿宋_GB2312" w:hAnsi="仿宋_GB2312" w:eastAsia="仿宋_GB2312" w:cs="仿宋_GB2312"/>
          <w:color w:val="auto"/>
          <w:sz w:val="32"/>
          <w:szCs w:val="32"/>
          <w:lang w:val="en-US" w:eastAsia="zh-CN"/>
        </w:rPr>
        <w:t>）及相关材料已通过审核。根据《中华人民共和国土地管理法》第四十四、四十五、四十六条，批复如下：</w:t>
      </w:r>
    </w:p>
    <w:p w14:paraId="683AC44D">
      <w:pPr>
        <w:pStyle w:val="6"/>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同意使用</w:t>
      </w:r>
      <w:r>
        <w:rPr>
          <w:rFonts w:hint="eastAsia" w:eastAsia="仿宋_GB2312" w:cs="Times New Roman"/>
          <w:color w:val="auto"/>
          <w:kern w:val="2"/>
          <w:sz w:val="32"/>
          <w:szCs w:val="32"/>
          <w:highlight w:val="none"/>
          <w:u w:val="none"/>
          <w:lang w:val="en-US" w:eastAsia="zh-CN" w:bidi="ar-SA"/>
        </w:rPr>
        <w:t>1.7047</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w:t>
      </w:r>
      <w:bookmarkStart w:id="0" w:name="OLE_LINK1"/>
      <w:r>
        <w:rPr>
          <w:rFonts w:hint="eastAsia" w:ascii="Times New Roman" w:hAnsi="Times New Roman" w:eastAsia="仿宋_GB2312" w:cs="Times New Roman"/>
          <w:color w:val="auto"/>
          <w:kern w:val="2"/>
          <w:sz w:val="32"/>
          <w:szCs w:val="32"/>
          <w:highlight w:val="none"/>
          <w:u w:val="none"/>
          <w:lang w:val="en-US" w:eastAsia="zh-CN" w:bidi="ar-SA"/>
        </w:rPr>
        <w:t>花都区</w:t>
      </w:r>
      <w:bookmarkEnd w:id="0"/>
      <w:r>
        <w:rPr>
          <w:rFonts w:hint="eastAsia" w:eastAsia="仿宋_GB2312" w:cs="Times New Roman"/>
          <w:color w:val="auto"/>
          <w:kern w:val="2"/>
          <w:sz w:val="32"/>
          <w:szCs w:val="32"/>
          <w:highlight w:val="none"/>
          <w:u w:val="none"/>
          <w:lang w:val="en-US" w:eastAsia="zh-CN" w:bidi="ar-SA"/>
        </w:rPr>
        <w:t>新华街田美经济联合社、新雅街清㘵村西分经济合作社属下的集体农用地1.6065公顷（其中耕地0.1667公顷）转为建设用地，同时使用上述有关村集体建设用地0.0973公顷，以上合计1.7038公顷集体土地一并办理征地手续。另同意你市将花都区人民政府属下的国有农用地0.0009公顷（其中耕地0.0002公顷）转为建设用地。上述批准建设用地1.7047公顷由当地人民政府依法依规供应。</w:t>
      </w:r>
    </w:p>
    <w:p w14:paraId="7B66F1B8">
      <w:pPr>
        <w:keepNext w:val="0"/>
        <w:keepLines w:val="0"/>
        <w:pageBreakBefore w:val="0"/>
        <w:widowControl/>
        <w:numPr>
          <w:ilvl w:val="0"/>
          <w:numId w:val="1"/>
        </w:numPr>
        <w:kinsoku/>
        <w:wordWrap/>
        <w:overflowPunct/>
        <w:topLinePunct w:val="0"/>
        <w:bidi w:val="0"/>
        <w:adjustRightInd/>
        <w:snapToGrid/>
        <w:spacing w:line="560" w:lineRule="exact"/>
        <w:ind w:left="0" w:leftChars="0" w:firstLine="632" w:firstLineChars="200"/>
        <w:textAlignment w:val="baseline"/>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请你市人民政府负责落实补充耕地。督促补充耕地责任单位认真落实耕地占补平衡，补充数量相等、质量相当的耕地，对应核销耕地数量、水田规模和标准粮食产能指标（确认信息编号：440000202512946416）。</w:t>
      </w:r>
    </w:p>
    <w:p w14:paraId="109B5E37">
      <w:pPr>
        <w:keepNext w:val="0"/>
        <w:keepLines w:val="0"/>
        <w:pageBreakBefore w:val="0"/>
        <w:widowControl/>
        <w:numPr>
          <w:ilvl w:val="0"/>
          <w:numId w:val="1"/>
        </w:numPr>
        <w:kinsoku/>
        <w:wordWrap/>
        <w:overflowPunct/>
        <w:topLinePunct w:val="0"/>
        <w:bidi w:val="0"/>
        <w:adjustRightInd/>
        <w:snapToGrid/>
        <w:spacing w:line="560" w:lineRule="exact"/>
        <w:ind w:left="0" w:leftChars="0" w:firstLine="632"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你市相关不动产登记机构依此办理集体土地所有权注销或变更登记。</w:t>
      </w:r>
    </w:p>
    <w:p w14:paraId="5B65084A">
      <w:pPr>
        <w:keepNext w:val="0"/>
        <w:keepLines w:val="0"/>
        <w:pageBreakBefore w:val="0"/>
        <w:widowControl/>
        <w:kinsoku/>
        <w:wordWrap/>
        <w:overflowPunct/>
        <w:topLinePunct w:val="0"/>
        <w:bidi w:val="0"/>
        <w:adjustRightInd/>
        <w:snapToGrid/>
        <w:spacing w:line="560" w:lineRule="exact"/>
        <w:ind w:firstLine="645"/>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使用土地涉及的耕地占用税等有关税费的收缴或调整，请按有关规定办理。</w:t>
      </w:r>
    </w:p>
    <w:p w14:paraId="3CD233E1">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14:paraId="64302B58">
      <w:pPr>
        <w:widowControl/>
        <w:spacing w:line="600" w:lineRule="exact"/>
        <w:textAlignment w:val="baseline"/>
        <w:rPr>
          <w:rFonts w:hint="eastAsia" w:ascii="仿宋_GB2312" w:hAnsi="仿宋_GB2312" w:eastAsia="仿宋_GB2312" w:cs="仿宋_GB2312"/>
          <w:color w:val="auto"/>
          <w:sz w:val="32"/>
          <w:szCs w:val="32"/>
        </w:rPr>
      </w:pPr>
    </w:p>
    <w:p w14:paraId="64800BA8">
      <w:pPr>
        <w:widowControl/>
        <w:spacing w:line="600" w:lineRule="exact"/>
        <w:textAlignment w:val="baseline"/>
        <w:rPr>
          <w:rFonts w:hint="eastAsia" w:ascii="仿宋_GB2312" w:hAnsi="仿宋_GB2312" w:eastAsia="仿宋_GB2312" w:cs="仿宋_GB2312"/>
          <w:color w:val="auto"/>
          <w:sz w:val="32"/>
          <w:szCs w:val="32"/>
        </w:rPr>
      </w:pPr>
    </w:p>
    <w:p w14:paraId="698957E2">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14:paraId="06E74DC3">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w:t>
      </w:r>
      <w:r>
        <w:rPr>
          <w:rFonts w:hint="eastAsia" w:eastAsia="仿宋_GB2312" w:cs="Times New Roman"/>
          <w:color w:val="auto"/>
          <w:kern w:val="2"/>
          <w:sz w:val="32"/>
          <w:szCs w:val="32"/>
          <w:highlight w:val="none"/>
          <w:u w:val="none"/>
          <w:lang w:val="en-US" w:eastAsia="zh-CN" w:bidi="ar-SA"/>
        </w:rPr>
        <w:t>6</w:t>
      </w:r>
      <w:r>
        <w:rPr>
          <w:rFonts w:hint="eastAsia" w:ascii="Times New Roman" w:hAnsi="Times New Roman" w:eastAsia="仿宋_GB2312" w:cs="Times New Roman"/>
          <w:color w:val="auto"/>
          <w:kern w:val="2"/>
          <w:sz w:val="32"/>
          <w:szCs w:val="32"/>
          <w:highlight w:val="none"/>
          <w:u w:val="none"/>
          <w:lang w:val="en-US" w:eastAsia="zh-CN" w:bidi="ar-SA"/>
        </w:rPr>
        <w:t>年</w:t>
      </w:r>
      <w:r>
        <w:rPr>
          <w:rFonts w:hint="eastAsia" w:eastAsia="仿宋_GB2312" w:cs="Times New Roman"/>
          <w:color w:val="auto"/>
          <w:kern w:val="2"/>
          <w:sz w:val="32"/>
          <w:szCs w:val="32"/>
          <w:highlight w:val="none"/>
          <w:u w:val="none"/>
          <w:lang w:val="en-US" w:eastAsia="zh-CN" w:bidi="ar-SA"/>
        </w:rPr>
        <w:t>3</w:t>
      </w:r>
      <w:r>
        <w:rPr>
          <w:rFonts w:hint="eastAsia" w:ascii="Times New Roman" w:hAnsi="Times New Roman" w:eastAsia="仿宋_GB2312" w:cs="Times New Roman"/>
          <w:color w:val="auto"/>
          <w:kern w:val="2"/>
          <w:sz w:val="32"/>
          <w:szCs w:val="32"/>
          <w:highlight w:val="none"/>
          <w:u w:val="none"/>
          <w:lang w:val="en-US" w:eastAsia="zh-CN" w:bidi="ar-SA"/>
        </w:rPr>
        <w:t>月</w:t>
      </w:r>
      <w:r>
        <w:rPr>
          <w:rFonts w:hint="eastAsia" w:eastAsia="仿宋_GB2312" w:cs="Times New Roman"/>
          <w:color w:val="auto"/>
          <w:kern w:val="2"/>
          <w:sz w:val="32"/>
          <w:szCs w:val="32"/>
          <w:highlight w:val="none"/>
          <w:u w:val="none"/>
          <w:lang w:val="en-US" w:eastAsia="zh-CN" w:bidi="ar-SA"/>
        </w:rPr>
        <w:t>25</w:t>
      </w:r>
      <w:r>
        <w:rPr>
          <w:rFonts w:hint="eastAsia" w:ascii="仿宋_GB2312" w:hAnsi="仿宋_GB2312" w:eastAsia="仿宋_GB2312" w:cs="仿宋_GB2312"/>
          <w:color w:val="auto"/>
          <w:sz w:val="32"/>
          <w:szCs w:val="32"/>
        </w:rPr>
        <w:t>日</w:t>
      </w:r>
    </w:p>
    <w:p w14:paraId="0CA33FA2">
      <w:pPr>
        <w:widowControl/>
        <w:spacing w:line="600" w:lineRule="exact"/>
        <w:textAlignment w:val="baseline"/>
        <w:rPr>
          <w:rFonts w:hint="eastAsia" w:eastAsia="仿宋_GB2312"/>
          <w:color w:val="auto"/>
          <w:sz w:val="32"/>
          <w:szCs w:val="32"/>
        </w:rPr>
      </w:pPr>
    </w:p>
    <w:p w14:paraId="00F2A747">
      <w:pPr>
        <w:widowControl/>
        <w:spacing w:line="600" w:lineRule="exact"/>
        <w:textAlignment w:val="baseline"/>
        <w:rPr>
          <w:rFonts w:hint="eastAsia" w:eastAsia="仿宋_GB2312"/>
          <w:color w:val="auto"/>
          <w:sz w:val="32"/>
          <w:szCs w:val="32"/>
        </w:rPr>
      </w:pPr>
    </w:p>
    <w:p w14:paraId="7B04299A">
      <w:pPr>
        <w:widowControl/>
        <w:spacing w:line="600" w:lineRule="exact"/>
        <w:textAlignment w:val="baseline"/>
        <w:rPr>
          <w:rFonts w:hint="eastAsia" w:eastAsia="仿宋_GB2312"/>
          <w:color w:val="auto"/>
          <w:sz w:val="32"/>
          <w:szCs w:val="32"/>
        </w:rPr>
      </w:pPr>
    </w:p>
    <w:p w14:paraId="79D6A736">
      <w:pPr>
        <w:widowControl/>
        <w:spacing w:line="600" w:lineRule="exact"/>
        <w:textAlignment w:val="baseline"/>
        <w:rPr>
          <w:rFonts w:hint="eastAsia" w:eastAsia="仿宋_GB2312"/>
          <w:color w:val="auto"/>
          <w:sz w:val="32"/>
          <w:szCs w:val="32"/>
        </w:rPr>
      </w:pPr>
    </w:p>
    <w:p w14:paraId="484310CC">
      <w:pPr>
        <w:widowControl/>
        <w:spacing w:line="600" w:lineRule="exact"/>
        <w:textAlignment w:val="baseline"/>
        <w:rPr>
          <w:rFonts w:hint="eastAsia" w:eastAsia="仿宋_GB2312"/>
          <w:color w:val="auto"/>
          <w:sz w:val="32"/>
          <w:szCs w:val="32"/>
        </w:rPr>
      </w:pPr>
    </w:p>
    <w:p w14:paraId="2F9A10A2">
      <w:pPr>
        <w:widowControl/>
        <w:spacing w:line="600" w:lineRule="exact"/>
        <w:textAlignment w:val="baseline"/>
        <w:rPr>
          <w:rFonts w:hint="eastAsia" w:eastAsia="仿宋_GB2312"/>
          <w:color w:val="auto"/>
          <w:sz w:val="32"/>
          <w:szCs w:val="32"/>
        </w:rPr>
      </w:pPr>
    </w:p>
    <w:p w14:paraId="15C06793">
      <w:pPr>
        <w:widowControl/>
        <w:spacing w:line="600" w:lineRule="exact"/>
        <w:textAlignment w:val="baseline"/>
        <w:rPr>
          <w:rFonts w:hint="eastAsia" w:eastAsia="仿宋_GB2312"/>
          <w:color w:val="auto"/>
          <w:sz w:val="32"/>
          <w:szCs w:val="32"/>
        </w:rPr>
      </w:pPr>
    </w:p>
    <w:p w14:paraId="77B32B83">
      <w:pPr>
        <w:widowControl/>
        <w:spacing w:line="600" w:lineRule="exact"/>
        <w:textAlignment w:val="baseline"/>
        <w:rPr>
          <w:rFonts w:hint="eastAsia" w:eastAsia="仿宋_GB2312"/>
          <w:color w:val="auto"/>
          <w:sz w:val="32"/>
          <w:szCs w:val="32"/>
        </w:rPr>
      </w:pPr>
    </w:p>
    <w:p w14:paraId="7AF717B8">
      <w:pPr>
        <w:spacing w:line="600" w:lineRule="exact"/>
        <w:rPr>
          <w:rFonts w:hint="eastAsia" w:ascii="黑体" w:hAnsi="黑体" w:eastAsia="黑体"/>
          <w:color w:val="auto"/>
          <w:sz w:val="32"/>
          <w:szCs w:val="32"/>
        </w:rPr>
      </w:pPr>
      <w:bookmarkStart w:id="1" w:name="_GoBack"/>
      <w:bookmarkEnd w:id="1"/>
      <w:r>
        <w:rPr>
          <w:rFonts w:hint="eastAsia" w:ascii="黑体" w:hAnsi="黑体" w:eastAsia="黑体"/>
          <w:color w:val="auto"/>
          <w:sz w:val="32"/>
          <w:szCs w:val="32"/>
        </w:rPr>
        <w:t>公开方式：</w:t>
      </w:r>
      <w:r>
        <w:rPr>
          <w:rFonts w:hint="eastAsia" w:eastAsia="仿宋_GB2312"/>
          <w:color w:val="auto"/>
          <w:sz w:val="32"/>
          <w:szCs w:val="32"/>
        </w:rPr>
        <w:t>主动公开</w:t>
      </w:r>
    </w:p>
    <w:p w14:paraId="7E5CFCCF">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w:t>
      </w: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DF8A5">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14:paraId="29959279">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7E195">
    <w:pPr>
      <w:pStyle w:val="2"/>
      <w:framePr w:wrap="around" w:vAnchor="text" w:hAnchor="margin" w:xAlign="outside" w:y="1"/>
      <w:rPr>
        <w:rStyle w:val="5"/>
      </w:rPr>
    </w:pPr>
    <w:r>
      <w:fldChar w:fldCharType="begin"/>
    </w:r>
    <w:r>
      <w:rPr>
        <w:rStyle w:val="5"/>
      </w:rPr>
      <w:instrText xml:space="preserve">PAGE  </w:instrText>
    </w:r>
    <w:r>
      <w:fldChar w:fldCharType="end"/>
    </w:r>
  </w:p>
  <w:p w14:paraId="66325831">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F19352"/>
    <w:multiLevelType w:val="singleLevel"/>
    <w:tmpl w:val="4FF1935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E8"/>
    <w:rsid w:val="007239E8"/>
    <w:rsid w:val="026C2F25"/>
    <w:rsid w:val="02810FF7"/>
    <w:rsid w:val="0346238A"/>
    <w:rsid w:val="05390C07"/>
    <w:rsid w:val="055C27B5"/>
    <w:rsid w:val="0C9920D9"/>
    <w:rsid w:val="0F7B02F4"/>
    <w:rsid w:val="109F6DD2"/>
    <w:rsid w:val="13236B26"/>
    <w:rsid w:val="15EA2560"/>
    <w:rsid w:val="26AD3E24"/>
    <w:rsid w:val="2E6F1820"/>
    <w:rsid w:val="32043682"/>
    <w:rsid w:val="33935FAE"/>
    <w:rsid w:val="3BBA7AA0"/>
    <w:rsid w:val="3E8770EB"/>
    <w:rsid w:val="407B1783"/>
    <w:rsid w:val="429C3C8E"/>
    <w:rsid w:val="44481963"/>
    <w:rsid w:val="483A73C5"/>
    <w:rsid w:val="4C9C00C8"/>
    <w:rsid w:val="4F3A3A5E"/>
    <w:rsid w:val="4F5579DC"/>
    <w:rsid w:val="4F617A2B"/>
    <w:rsid w:val="506F56B2"/>
    <w:rsid w:val="51C56C38"/>
    <w:rsid w:val="54AD5139"/>
    <w:rsid w:val="555846C7"/>
    <w:rsid w:val="56A7023F"/>
    <w:rsid w:val="59B07162"/>
    <w:rsid w:val="5D265BA5"/>
    <w:rsid w:val="5D293D56"/>
    <w:rsid w:val="5EE0577F"/>
    <w:rsid w:val="6D593268"/>
    <w:rsid w:val="770C5427"/>
    <w:rsid w:val="7BC435A7"/>
    <w:rsid w:val="7BF82EAB"/>
    <w:rsid w:val="7E2F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Administrator</cp:lastModifiedBy>
  <dcterms:modified xsi:type="dcterms:W3CDTF">2026-04-27T08:08:59Z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