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A7B56">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广州市花都区2025年度第四十四批次城镇建设用地（广州市花都区杨二村、东边村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城中村改造项目地块三）</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0B7D27C">
      <w:pPr>
        <w:pStyle w:val="2"/>
        <w:jc w:val="center"/>
        <w:rPr>
          <w:rFonts w:hint="eastAsia" w:ascii="仿宋_GB2312" w:hAnsi="仿宋_GB2312" w:eastAsia="仿宋_GB2312" w:cs="仿宋_GB2312"/>
          <w:color w:val="auto"/>
          <w:sz w:val="24"/>
          <w:szCs w:val="24"/>
          <w:lang w:eastAsia="zh-CN"/>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广州市花都区2025年度第四十四批次城镇建设用地（广州市花都区杨二村、东边村城中村改造项目地块三）</w:t>
      </w:r>
      <w:r>
        <w:rPr>
          <w:rFonts w:hint="eastAsia" w:ascii="仿宋_GB2312" w:hAnsi="仿宋_GB2312" w:eastAsia="仿宋_GB2312" w:cs="仿宋_GB2312"/>
          <w:color w:val="auto"/>
          <w:lang w:val="en-US" w:eastAsia="zh-CN"/>
        </w:rPr>
        <w:t>项目被征地农民养老保障方案如下：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广州市花都区2025年度第四十四批次城镇建设用地（广州市花都区杨二村、东边村城中村改造项目地块三）</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FF0000"/>
          <w:spacing w:val="0"/>
          <w:kern w:val="0"/>
          <w:sz w:val="32"/>
          <w:szCs w:val="32"/>
          <w:shd w:val="clear" w:color="auto" w:fill="FFFFFF"/>
          <w:lang w:val="en-US" w:eastAsia="zh-CN" w:bidi="ar"/>
        </w:rPr>
        <w:t>448.0050</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，征地双方于</w:t>
      </w:r>
      <w:r>
        <w:rPr>
          <w:rFonts w:hint="eastAsia" w:ascii="仿宋_GB2312" w:hAnsi="仿宋_GB2312" w:cs="仿宋_GB2312"/>
          <w:color w:val="auto"/>
          <w:lang w:val="en-US" w:eastAsia="zh-CN"/>
        </w:rPr>
        <w:t>2025</w:t>
      </w:r>
      <w:r>
        <w:rPr>
          <w:rFonts w:hint="eastAsia" w:ascii="仿宋_GB2312" w:hAnsi="仿宋_GB2312" w:cs="仿宋_GB2312"/>
          <w:color w:val="auto"/>
        </w:rPr>
        <w:t>年</w:t>
      </w:r>
      <w:r>
        <w:rPr>
          <w:rFonts w:hint="eastAsia" w:ascii="仿宋_GB2312" w:hAnsi="仿宋_GB2312" w:cs="仿宋_GB2312"/>
          <w:color w:val="auto"/>
          <w:lang w:val="en-US" w:eastAsia="zh-CN"/>
        </w:rPr>
        <w:t>6</w:t>
      </w:r>
      <w:r>
        <w:rPr>
          <w:rFonts w:hint="eastAsia" w:ascii="仿宋_GB2312" w:hAnsi="仿宋_GB2312" w:cs="仿宋_GB2312"/>
          <w:color w:val="auto"/>
        </w:rPr>
        <w:t>月</w:t>
      </w:r>
      <w:r>
        <w:rPr>
          <w:rFonts w:hint="eastAsia" w:ascii="仿宋_GB2312" w:hAnsi="仿宋_GB2312" w:cs="仿宋_GB2312"/>
          <w:color w:val="auto"/>
          <w:lang w:val="en-US" w:eastAsia="zh-CN"/>
        </w:rPr>
        <w:t>全部</w:t>
      </w:r>
      <w:r>
        <w:rPr>
          <w:rFonts w:hint="eastAsia" w:ascii="仿宋_GB2312" w:hAnsi="仿宋_GB2312" w:cs="仿宋_GB2312"/>
          <w:color w:val="auto"/>
        </w:rPr>
        <w:t>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FF0000"/>
          <w:kern w:val="2"/>
          <w:shd w:val="clear" w:color="auto" w:fill="auto"/>
          <w:lang w:val="en-US" w:eastAsia="zh-CN" w:bidi="ar-SA"/>
        </w:rPr>
        <w:t>958.81</w:t>
      </w:r>
      <w:r>
        <w:rPr>
          <w:rFonts w:hint="eastAsia" w:ascii="仿宋_GB2312" w:hAnsi="仿宋_GB2312" w:cs="仿宋_GB2312"/>
          <w:color w:val="FF0000"/>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29AD34A1">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678C3C6B">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14:paraId="5319EBCD">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14:paraId="40BEBECC">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14:paraId="1A72F182">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3249BD67">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14:paraId="4AE61EA6">
      <w:pPr>
        <w:spacing w:line="560" w:lineRule="exact"/>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5ADD79AC">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2026</w:t>
      </w:r>
      <w:r>
        <w:rPr>
          <w:rFonts w:hint="eastAsia" w:ascii="仿宋_GB2312" w:hAnsi="仿宋_GB2312" w:eastAsia="仿宋_GB2312" w:cs="仿宋_GB2312"/>
          <w:color w:val="FF0000"/>
          <w:sz w:val="32"/>
          <w:szCs w:val="32"/>
          <w:lang w:val="en-US" w:eastAsia="zh-CN"/>
        </w:rPr>
        <w:t>年</w:t>
      </w:r>
      <w:r>
        <w:rPr>
          <w:rFonts w:hint="eastAsia" w:ascii="仿宋_GB2312" w:hAnsi="仿宋_GB2312" w:cs="仿宋_GB2312"/>
          <w:color w:val="FF0000"/>
          <w:sz w:val="32"/>
          <w:szCs w:val="32"/>
          <w:lang w:val="en-US" w:eastAsia="zh-CN"/>
        </w:rPr>
        <w:t>5</w:t>
      </w:r>
      <w:r>
        <w:rPr>
          <w:rFonts w:hint="eastAsia" w:ascii="仿宋_GB2312" w:hAnsi="仿宋_GB2312" w:eastAsia="仿宋_GB2312" w:cs="仿宋_GB2312"/>
          <w:color w:val="FF0000"/>
          <w:sz w:val="32"/>
          <w:szCs w:val="32"/>
          <w:lang w:val="en-US" w:eastAsia="zh-CN"/>
        </w:rPr>
        <w:t>月</w:t>
      </w:r>
      <w:r>
        <w:rPr>
          <w:rFonts w:hint="eastAsia" w:ascii="仿宋_GB2312" w:hAnsi="仿宋_GB2312" w:cs="仿宋_GB2312"/>
          <w:i w:val="0"/>
          <w:caps w:val="0"/>
          <w:color w:val="FF0000"/>
          <w:spacing w:val="0"/>
          <w:kern w:val="0"/>
          <w:sz w:val="32"/>
          <w:szCs w:val="32"/>
          <w:shd w:val="clear" w:color="auto" w:fill="FFFFFF"/>
          <w:lang w:val="en-US" w:eastAsia="zh-CN" w:bidi="ar"/>
        </w:rPr>
        <w:t>15</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日</w:t>
      </w:r>
    </w:p>
    <w:p w14:paraId="2BBB6DC1">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bookmarkStart w:id="0" w:name="_GoBack"/>
      <w:bookmarkEnd w:id="0"/>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22"/>
        <w:gridCol w:w="2700"/>
        <w:gridCol w:w="1650"/>
        <w:gridCol w:w="1995"/>
        <w:gridCol w:w="1439"/>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60" w:hRule="atLeast"/>
          <w:jc w:val="center"/>
        </w:trPr>
        <w:tc>
          <w:tcPr>
            <w:tcW w:w="3622"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 w:hAnsi="仿宋" w:eastAsia="仿宋" w:cs="仿宋"/>
                <w:kern w:val="0"/>
                <w:sz w:val="24"/>
                <w:szCs w:val="24"/>
                <w:lang w:eastAsia="zh-CN"/>
              </w:rPr>
            </w:pPr>
            <w:r>
              <w:rPr>
                <w:rFonts w:hint="eastAsia" w:ascii="仿宋" w:hAnsi="仿宋" w:eastAsia="仿宋" w:cs="仿宋"/>
                <w:i w:val="0"/>
                <w:iCs w:val="0"/>
                <w:color w:val="000000"/>
                <w:kern w:val="0"/>
                <w:sz w:val="24"/>
                <w:szCs w:val="24"/>
                <w:u w:val="none"/>
                <w:lang w:val="en-US" w:eastAsia="zh-CN" w:bidi="ar"/>
              </w:rPr>
              <w:t>花城街</w:t>
            </w: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东边村经济联合社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58.2915</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124.75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5E72ADCC">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东边村南二经济合作社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31.5375</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67.5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60A9CD56">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东边村南一经济合作社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123.5925</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264.49</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693ED54A">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东边村上元经济合作社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81.744</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174.94</w:t>
            </w:r>
          </w:p>
        </w:tc>
      </w:tr>
      <w:tr w14:paraId="396DA7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1E3EBCEC">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604EC0">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东边村松元经济合作社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22CD3B3">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36.7185</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8ABB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37A21CE">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78.58</w:t>
            </w:r>
          </w:p>
        </w:tc>
      </w:tr>
      <w:tr w14:paraId="50F4C9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6FD33C09">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5273DC">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杨二村经济联合社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9E9820F">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2.4675</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96F25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8F199B6">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5.29</w:t>
            </w:r>
          </w:p>
        </w:tc>
      </w:tr>
      <w:tr w14:paraId="6136A0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51168A37">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21BCBB">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杨二村存心经济合作社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18E2242">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12.234</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5A67C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EDD1E7B">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26.19</w:t>
            </w:r>
          </w:p>
        </w:tc>
      </w:tr>
      <w:tr w14:paraId="05E4A9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7F22DA8E">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8510C2">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杨二村大龙经济合作社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04DCAE5">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27.6345</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E865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38AA4E3">
            <w:pPr>
              <w:keepNext w:val="0"/>
              <w:keepLines w:val="0"/>
              <w:widowControl/>
              <w:suppressLineNumbers w:val="0"/>
              <w:jc w:val="center"/>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59.14</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08CCC98B">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杨二村榕树经济合作社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0.426</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0.92</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2730243D">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杨二村上头经济合作社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9.5205</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 w:hAnsi="仿宋" w:eastAsia="仿宋" w:cs="仿宋"/>
                <w:color w:val="FF0000"/>
                <w:kern w:val="0"/>
                <w:sz w:val="24"/>
                <w:szCs w:val="24"/>
                <w:lang w:val="en-US"/>
              </w:rPr>
            </w:pPr>
            <w:r>
              <w:rPr>
                <w:rFonts w:hint="eastAsia" w:ascii="仿宋" w:hAnsi="仿宋" w:eastAsia="仿宋" w:cs="仿宋"/>
                <w:i w:val="0"/>
                <w:iCs w:val="0"/>
                <w:color w:val="FF0000"/>
                <w:kern w:val="0"/>
                <w:sz w:val="24"/>
                <w:szCs w:val="24"/>
                <w:u w:val="none"/>
                <w:lang w:val="en-US" w:eastAsia="zh-CN" w:bidi="ar"/>
              </w:rPr>
              <w:t>20.38</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46D843C0">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杨二村泗合经济合作社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7.188</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15.39</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22" w:type="dxa"/>
            <w:vMerge w:val="continue"/>
            <w:tcBorders>
              <w:right w:val="single" w:color="auto" w:sz="4" w:space="0"/>
            </w:tcBorders>
            <w:noWrap w:val="0"/>
            <w:vAlign w:val="center"/>
          </w:tcPr>
          <w:p w14:paraId="49A4D8E3">
            <w:pPr>
              <w:jc w:val="center"/>
              <w:rPr>
                <w:rFonts w:hint="eastAsia" w:ascii="仿宋" w:hAnsi="仿宋" w:eastAsia="仿宋" w:cs="仿宋"/>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杨二村旗星经济合作社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56.6505</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121.24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622"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448.005</w:t>
            </w:r>
          </w:p>
        </w:tc>
        <w:tc>
          <w:tcPr>
            <w:tcW w:w="19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 w:hAnsi="仿宋" w:eastAsia="仿宋" w:cs="仿宋"/>
                <w:color w:val="FF0000"/>
                <w:kern w:val="0"/>
                <w:sz w:val="24"/>
                <w:szCs w:val="24"/>
              </w:rPr>
            </w:pPr>
            <w:r>
              <w:rPr>
                <w:rFonts w:hint="eastAsia" w:ascii="仿宋" w:hAnsi="仿宋" w:eastAsia="仿宋" w:cs="仿宋"/>
                <w:i w:val="0"/>
                <w:iCs w:val="0"/>
                <w:color w:val="FF0000"/>
                <w:kern w:val="0"/>
                <w:sz w:val="24"/>
                <w:szCs w:val="24"/>
                <w:u w:val="none"/>
                <w:lang w:val="en-US" w:eastAsia="zh-CN" w:bidi="ar"/>
              </w:rPr>
              <w:t>958.81</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027005"/>
    <w:rsid w:val="0C1E49CC"/>
    <w:rsid w:val="0CE91961"/>
    <w:rsid w:val="0D7F33A2"/>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1160FF"/>
    <w:rsid w:val="40736F4A"/>
    <w:rsid w:val="42A07318"/>
    <w:rsid w:val="42AE5403"/>
    <w:rsid w:val="450C1F37"/>
    <w:rsid w:val="4A8B480A"/>
    <w:rsid w:val="4C363821"/>
    <w:rsid w:val="56293227"/>
    <w:rsid w:val="57B071EF"/>
    <w:rsid w:val="595E5E5B"/>
    <w:rsid w:val="59693C7E"/>
    <w:rsid w:val="59C660C1"/>
    <w:rsid w:val="5A666CB6"/>
    <w:rsid w:val="5D7072F6"/>
    <w:rsid w:val="5D722B54"/>
    <w:rsid w:val="5E5D0F26"/>
    <w:rsid w:val="5FE43DCD"/>
    <w:rsid w:val="614340C8"/>
    <w:rsid w:val="61B70D0C"/>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妙滋滋(^㉨^*)</cp:lastModifiedBy>
  <cp:lastPrinted>2022-01-04T07:55:00Z</cp:lastPrinted>
  <dcterms:modified xsi:type="dcterms:W3CDTF">2026-05-15T03:12:20Z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070BF29F49FA4D27BCBEC20237B01743_13</vt:lpwstr>
  </property>
</Properties>
</file>