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C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eastAsia="zh-CN"/>
        </w:rPr>
      </w:pPr>
      <w:bookmarkStart w:id="0" w:name="_GoBack"/>
      <w:bookmarkEnd w:id="0"/>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eastAsia="方正小标宋简体"/>
          <w:sz w:val="44"/>
          <w:szCs w:val="44"/>
        </w:rPr>
        <w:t>广州市花都区</w:t>
      </w:r>
      <w:r>
        <w:rPr>
          <w:rFonts w:hint="eastAsia" w:eastAsia="方正小标宋简体" w:cs="方正小标宋简体"/>
          <w:sz w:val="44"/>
          <w:szCs w:val="44"/>
          <w:lang w:eastAsia="zh-CN"/>
        </w:rPr>
        <w:t>2026年度第</w:t>
      </w:r>
      <w:r>
        <w:rPr>
          <w:rFonts w:hint="eastAsia" w:eastAsia="方正小标宋简体" w:cs="方正小标宋简体"/>
          <w:sz w:val="44"/>
          <w:szCs w:val="44"/>
          <w:lang w:val="en-US" w:eastAsia="zh-CN"/>
        </w:rPr>
        <w:t>四十六</w:t>
      </w:r>
      <w:r>
        <w:rPr>
          <w:rFonts w:hint="eastAsia" w:eastAsia="方正小标宋简体"/>
          <w:sz w:val="44"/>
          <w:szCs w:val="44"/>
        </w:rPr>
        <w:t>批次城镇建设用地（</w:t>
      </w:r>
      <w:r>
        <w:rPr>
          <w:rFonts w:hint="eastAsia" w:eastAsia="方正小标宋简体"/>
          <w:sz w:val="44"/>
          <w:szCs w:val="44"/>
          <w:lang w:eastAsia="zh-CN"/>
        </w:rPr>
        <w:t>新庄村村镇工业集聚区改造项目</w:t>
      </w:r>
    </w:p>
    <w:p w14:paraId="324C76FA">
      <w:pPr>
        <w:spacing w:line="560" w:lineRule="exact"/>
        <w:jc w:val="center"/>
        <w:rPr>
          <w:rFonts w:ascii="方正小标宋简体" w:hAnsi="方正小标宋简体" w:eastAsia="方正小标宋简体" w:cs="方正小标宋简体"/>
          <w:sz w:val="44"/>
          <w:szCs w:val="44"/>
        </w:rPr>
      </w:pPr>
      <w:r>
        <w:rPr>
          <w:rFonts w:hint="eastAsia" w:eastAsia="方正小标宋简体"/>
          <w:sz w:val="44"/>
          <w:szCs w:val="44"/>
          <w:lang w:eastAsia="zh-CN"/>
        </w:rPr>
        <w:t>二期收储地块</w:t>
      </w:r>
      <w:r>
        <w:rPr>
          <w:rFonts w:hint="eastAsia" w:eastAsia="方正小标宋简体"/>
          <w:sz w:val="44"/>
          <w:szCs w:val="44"/>
        </w:rPr>
        <w:t>）</w:t>
      </w:r>
      <w:r>
        <w:rPr>
          <w:rFonts w:hint="eastAsia" w:ascii="方正小标宋简体" w:hAnsi="方正小标宋简体" w:eastAsia="方正小标宋简体" w:cs="方正小标宋简体"/>
          <w:sz w:val="44"/>
          <w:szCs w:val="44"/>
        </w:rPr>
        <w:t>项目被征地农民</w:t>
      </w:r>
    </w:p>
    <w:p w14:paraId="69900A4F">
      <w:pPr>
        <w:spacing w:line="560" w:lineRule="exact"/>
        <w:jc w:val="center"/>
      </w:pPr>
      <w:r>
        <w:rPr>
          <w:rFonts w:hint="eastAsia" w:ascii="方正小标宋简体" w:hAnsi="方正小标宋简体" w:eastAsia="方正小标宋简体" w:cs="方正小标宋简体"/>
          <w:sz w:val="44"/>
          <w:szCs w:val="44"/>
        </w:rPr>
        <w:t>养老保障方案</w:t>
      </w:r>
    </w:p>
    <w:p w14:paraId="1CC34BBC">
      <w:pPr>
        <w:spacing w:line="560" w:lineRule="exact"/>
        <w:ind w:firstLine="640" w:firstLineChars="200"/>
        <w:rPr>
          <w:rFonts w:ascii="仿宋_GB2312" w:hAnsi="仿宋_GB2312" w:cs="仿宋_GB2312"/>
          <w:kern w:val="0"/>
          <w:shd w:val="clear" w:color="auto" w:fill="FFFFFF"/>
          <w:lang w:bidi="ar"/>
        </w:rPr>
      </w:pPr>
    </w:p>
    <w:p w14:paraId="66543BA8">
      <w:pPr>
        <w:spacing w:line="560" w:lineRule="exact"/>
        <w:ind w:firstLine="640" w:firstLineChars="200"/>
        <w:rPr>
          <w:rFonts w:ascii="仿宋_GB2312" w:hAnsi="仿宋_GB2312" w:cs="仿宋_GB2312"/>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w:t>
      </w:r>
      <w:r>
        <w:rPr>
          <w:kern w:val="0"/>
          <w:shd w:val="clear" w:color="auto" w:fill="FFFFFF"/>
          <w:lang w:bidi="ar"/>
        </w:rPr>
        <w:t>2007</w:t>
      </w:r>
      <w:r>
        <w:rPr>
          <w:rFonts w:hint="eastAsia" w:ascii="仿宋_GB2312" w:hAnsi="仿宋_GB2312" w:cs="仿宋_GB2312"/>
          <w:kern w:val="0"/>
          <w:shd w:val="clear" w:color="auto" w:fill="FFFFFF"/>
          <w:lang w:bidi="ar"/>
        </w:rPr>
        <w:t>〕</w:t>
      </w:r>
      <w:r>
        <w:rPr>
          <w:rFonts w:hint="eastAsia"/>
          <w:kern w:val="0"/>
          <w:shd w:val="clear" w:color="auto" w:fill="FFFFFF"/>
          <w:lang w:bidi="ar"/>
        </w:rPr>
        <w:t>14</w:t>
      </w:r>
      <w:r>
        <w:rPr>
          <w:rFonts w:hint="eastAsia" w:ascii="仿宋_GB2312" w:hAnsi="仿宋_GB2312" w:cs="仿宋_GB2312"/>
          <w:kern w:val="0"/>
          <w:shd w:val="clear" w:color="auto" w:fill="FFFFFF"/>
          <w:lang w:bidi="ar"/>
        </w:rPr>
        <w:t>号，下称劳社部发</w:t>
      </w:r>
      <w:r>
        <w:rPr>
          <w:rFonts w:hint="eastAsia"/>
          <w:kern w:val="0"/>
          <w:shd w:val="clear" w:color="auto" w:fill="FFFFFF"/>
          <w:lang w:bidi="ar"/>
        </w:rPr>
        <w:t>〔2007〕14</w:t>
      </w:r>
      <w:r>
        <w:rPr>
          <w:rFonts w:hint="eastAsia" w:ascii="仿宋_GB2312" w:hAnsi="仿宋_GB2312" w:cs="仿宋_GB2312"/>
          <w:kern w:val="0"/>
          <w:shd w:val="clear" w:color="auto" w:fill="FFFFFF"/>
          <w:lang w:bidi="ar"/>
        </w:rPr>
        <w:t>号）、《广东省人民政府办公厅转发省人力资源社会保障厅关于进一步完善我省被征地农民养老保障政策意见的通知》（粤府办</w:t>
      </w:r>
      <w:r>
        <w:rPr>
          <w:rFonts w:hint="eastAsia"/>
          <w:kern w:val="0"/>
          <w:shd w:val="clear" w:color="auto" w:fill="FFFFFF"/>
          <w:lang w:bidi="ar"/>
        </w:rPr>
        <w:t>〔2021〕22号）</w:t>
      </w:r>
      <w:r>
        <w:rPr>
          <w:rFonts w:hint="eastAsia"/>
          <w:kern w:val="0"/>
          <w:shd w:val="clear" w:color="auto" w:fill="FFFFFF"/>
          <w:lang w:eastAsia="zh-CN" w:bidi="ar"/>
        </w:rPr>
        <w:t>、</w:t>
      </w:r>
      <w:r>
        <w:rPr>
          <w:color w:val="18181C"/>
        </w:rPr>
        <w:t>《广东省人力资源社会保障厅人社厅关于进一步做好被征地农民社会保障工作完善相关政策的通知》</w:t>
      </w:r>
      <w:r>
        <w:rPr>
          <w:rFonts w:hint="eastAsia"/>
          <w:color w:val="18181C"/>
          <w:lang w:eastAsia="zh-CN"/>
        </w:rPr>
        <w:t>（</w:t>
      </w:r>
      <w:r>
        <w:rPr>
          <w:color w:val="18181C"/>
          <w:spacing w:val="-109"/>
        </w:rPr>
        <w:t xml:space="preserve"> </w:t>
      </w:r>
      <w:r>
        <w:rPr>
          <w:color w:val="18181C"/>
        </w:rPr>
        <w:t>粤人社规</w:t>
      </w:r>
      <w:r>
        <w:rPr>
          <w:rFonts w:hint="eastAsia"/>
          <w:kern w:val="0"/>
          <w:shd w:val="clear" w:color="auto" w:fill="FFFFFF"/>
          <w:lang w:bidi="ar"/>
        </w:rPr>
        <w:t>〔202</w:t>
      </w:r>
      <w:r>
        <w:rPr>
          <w:rFonts w:hint="eastAsia"/>
          <w:kern w:val="0"/>
          <w:shd w:val="clear" w:color="auto" w:fill="FFFFFF"/>
          <w:lang w:val="en-US" w:eastAsia="zh-CN" w:bidi="ar"/>
        </w:rPr>
        <w:t>5</w:t>
      </w:r>
      <w:r>
        <w:rPr>
          <w:rFonts w:hint="eastAsia"/>
          <w:kern w:val="0"/>
          <w:shd w:val="clear" w:color="auto" w:fill="FFFFFF"/>
          <w:lang w:bidi="ar"/>
        </w:rPr>
        <w:t>〕</w:t>
      </w:r>
      <w:r>
        <w:rPr>
          <w:rFonts w:ascii="Times New Roman" w:eastAsia="Times New Roman"/>
          <w:color w:val="18181C"/>
        </w:rPr>
        <w:t>48</w:t>
      </w:r>
      <w:r>
        <w:rPr>
          <w:rFonts w:ascii="Times New Roman" w:eastAsia="Times New Roman"/>
          <w:color w:val="18181C"/>
          <w:spacing w:val="-24"/>
        </w:rPr>
        <w:t xml:space="preserve"> </w:t>
      </w:r>
      <w:r>
        <w:rPr>
          <w:color w:val="18181C"/>
        </w:rPr>
        <w:t>号</w:t>
      </w:r>
      <w:r>
        <w:rPr>
          <w:rFonts w:hint="eastAsia"/>
          <w:color w:val="18181C"/>
          <w:lang w:eastAsia="zh-CN"/>
        </w:rPr>
        <w:t>）</w:t>
      </w:r>
      <w:r>
        <w:rPr>
          <w:rFonts w:hint="eastAsia"/>
          <w:kern w:val="0"/>
          <w:shd w:val="clear" w:color="auto" w:fill="FFFFFF"/>
          <w:lang w:bidi="ar"/>
        </w:rPr>
        <w:t>和《广州市人民政府办公厅转发关于进一步完善我省被征地农民养老保障政策意见的通知》（穗府办规〔2022〕3号）等有关规定，拟定广州市花都区2026 年度第四十六批次城镇建设用地（新庄村村镇工业集聚区改造项目二期收储地块）</w:t>
      </w:r>
      <w:r>
        <w:rPr>
          <w:rFonts w:hint="eastAsia"/>
          <w:kern w:val="0"/>
          <w:shd w:val="clear" w:color="auto" w:fill="FFFFFF"/>
          <w:lang w:eastAsia="zh-CN" w:bidi="ar"/>
        </w:rPr>
        <w:t>项目</w:t>
      </w:r>
      <w:r>
        <w:rPr>
          <w:rFonts w:hint="eastAsia" w:ascii="仿宋_GB2312" w:hAnsi="仿宋_GB2312" w:cs="仿宋_GB2312"/>
        </w:rPr>
        <w:t>被征地农民养老保障方案如下：</w:t>
      </w:r>
    </w:p>
    <w:p w14:paraId="574C003B">
      <w:pPr>
        <w:spacing w:line="560" w:lineRule="exact"/>
        <w:ind w:firstLine="640" w:firstLineChars="200"/>
        <w:rPr>
          <w:rFonts w:ascii="仿宋_GB2312" w:hAnsi="仿宋_GB2312" w:cs="仿宋_GB2312"/>
        </w:rPr>
      </w:pPr>
      <w:r>
        <w:rPr>
          <w:rFonts w:hint="eastAsia" w:ascii="仿宋_GB2312" w:hAnsi="仿宋_GB2312" w:cs="仿宋_GB2312"/>
        </w:rPr>
        <w:t>一、对广州市花都区</w:t>
      </w:r>
      <w:r>
        <w:rPr>
          <w:rFonts w:hint="eastAsia"/>
          <w:kern w:val="0"/>
          <w:shd w:val="clear" w:color="auto" w:fill="FFFFFF"/>
          <w:lang w:bidi="ar"/>
        </w:rPr>
        <w:t>202</w:t>
      </w:r>
      <w:r>
        <w:rPr>
          <w:rFonts w:hint="eastAsia"/>
          <w:kern w:val="0"/>
          <w:shd w:val="clear" w:color="auto" w:fill="FFFFFF"/>
          <w:lang w:val="en-US" w:eastAsia="zh-CN" w:bidi="ar"/>
        </w:rPr>
        <w:t>6</w:t>
      </w:r>
      <w:r>
        <w:rPr>
          <w:rFonts w:hint="eastAsia"/>
          <w:kern w:val="0"/>
          <w:shd w:val="clear" w:color="auto" w:fill="FFFFFF"/>
          <w:lang w:bidi="ar"/>
        </w:rPr>
        <w:t>年度第</w:t>
      </w:r>
      <w:r>
        <w:rPr>
          <w:rFonts w:hint="eastAsia"/>
          <w:kern w:val="0"/>
          <w:shd w:val="clear" w:color="auto" w:fill="FFFFFF"/>
          <w:lang w:eastAsia="zh-CN" w:bidi="ar"/>
        </w:rPr>
        <w:t>四十六</w:t>
      </w:r>
      <w:r>
        <w:rPr>
          <w:rFonts w:hint="eastAsia"/>
          <w:kern w:val="0"/>
          <w:shd w:val="clear" w:color="auto" w:fill="FFFFFF"/>
          <w:lang w:bidi="ar"/>
        </w:rPr>
        <w:t>批次</w:t>
      </w:r>
      <w:r>
        <w:rPr>
          <w:rFonts w:hint="eastAsia" w:ascii="仿宋_GB2312" w:hAnsi="仿宋_GB2312" w:cs="仿宋_GB2312"/>
        </w:rPr>
        <w:t>城镇建设用地（</w:t>
      </w:r>
      <w:r>
        <w:rPr>
          <w:rFonts w:hint="eastAsia"/>
          <w:kern w:val="0"/>
          <w:shd w:val="clear" w:color="auto" w:fill="FFFFFF"/>
          <w:lang w:bidi="ar"/>
        </w:rPr>
        <w:t>新庄村村镇工业集聚区改造项目二期收储地块</w:t>
      </w:r>
      <w:r>
        <w:rPr>
          <w:rFonts w:hint="eastAsia" w:ascii="仿宋_GB2312" w:hAnsi="仿宋_GB2312" w:cs="仿宋_GB2312"/>
        </w:rPr>
        <w:t>）项目涉及的被征地农民实施社会养老保障。</w:t>
      </w:r>
    </w:p>
    <w:p w14:paraId="0707DA5B">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w:t>
      </w:r>
      <w:r>
        <w:rPr>
          <w:rFonts w:hint="eastAsia" w:ascii="仿宋_GB2312"/>
          <w:lang w:eastAsia="zh-CN"/>
        </w:rPr>
        <w:t>狮岭镇新庄</w:t>
      </w:r>
      <w:r>
        <w:rPr>
          <w:rFonts w:hint="eastAsia" w:ascii="仿宋_GB2312"/>
        </w:rPr>
        <w:t>村</w:t>
      </w:r>
      <w:r>
        <w:rPr>
          <w:rFonts w:hint="eastAsia" w:ascii="仿宋_GB2312" w:hAnsi="仿宋_GB2312" w:cs="仿宋_GB2312"/>
          <w:kern w:val="0"/>
          <w:shd w:val="clear" w:color="auto" w:fill="FFFFFF"/>
          <w:lang w:bidi="ar"/>
        </w:rPr>
        <w:t>土地面积共</w:t>
      </w:r>
      <w:r>
        <w:rPr>
          <w:rFonts w:hint="eastAsia"/>
          <w:bCs/>
          <w:lang w:val="en-US" w:eastAsia="zh-CN" w:bidi="ar"/>
        </w:rPr>
        <w:t>6.5385</w:t>
      </w:r>
      <w:r>
        <w:rPr>
          <w:rFonts w:hint="eastAsia"/>
          <w:kern w:val="0"/>
          <w:shd w:val="clear" w:color="auto" w:fill="FFFFFF"/>
          <w:lang w:bidi="ar"/>
        </w:rPr>
        <w:t>亩，其中</w:t>
      </w:r>
      <w:r>
        <w:rPr>
          <w:rFonts w:hint="eastAsia"/>
          <w:kern w:val="0"/>
          <w:shd w:val="clear" w:color="auto" w:fill="FFFFFF"/>
          <w:lang w:val="en-US" w:eastAsia="zh-CN" w:bidi="ar"/>
        </w:rPr>
        <w:t>0</w:t>
      </w:r>
      <w:r>
        <w:rPr>
          <w:rFonts w:hint="eastAsia"/>
          <w:kern w:val="0"/>
          <w:shd w:val="clear" w:color="auto" w:fill="FFFFFF"/>
          <w:lang w:bidi="ar"/>
        </w:rPr>
        <w:t>亩</w:t>
      </w:r>
      <w:r>
        <w:rPr>
          <w:rFonts w:hint="eastAsia" w:ascii="仿宋_GB2312" w:hAnsi="仿宋_GB2312" w:cs="仿宋_GB2312"/>
        </w:rPr>
        <w:t>属于农村集体经济组织留用地，征地双方目前尚未签订征地补偿安置协议。该项目征地社保费应按</w:t>
      </w:r>
      <w:r>
        <w:rPr>
          <w:rFonts w:hint="eastAsia"/>
          <w:kern w:val="0"/>
          <w:shd w:val="clear" w:color="auto" w:fill="FFFFFF"/>
          <w:lang w:bidi="ar"/>
        </w:rPr>
        <w:t>2.14</w:t>
      </w:r>
      <w:r>
        <w:rPr>
          <w:rFonts w:hint="eastAsia" w:ascii="仿宋_GB2312" w:hAnsi="仿宋_GB2312" w:cs="仿宋_GB2312"/>
        </w:rPr>
        <w:t>万元/亩的标准计提（即征地补偿安置方案制定时，我区每亩平均征收农用地综合区片地价</w:t>
      </w:r>
      <w:r>
        <w:rPr>
          <w:rFonts w:hint="eastAsia"/>
          <w:kern w:val="0"/>
          <w:shd w:val="clear" w:color="auto" w:fill="FFFFFF"/>
          <w:lang w:bidi="ar"/>
        </w:rPr>
        <w:t>13.33万元/亩的16%），其中</w:t>
      </w:r>
      <w:r>
        <w:rPr>
          <w:rFonts w:hint="eastAsia"/>
          <w:kern w:val="0"/>
          <w:shd w:val="clear" w:color="auto" w:fill="FFFFFF"/>
          <w:lang w:val="en-US" w:eastAsia="zh-CN" w:bidi="ar"/>
        </w:rPr>
        <w:t>0</w:t>
      </w:r>
      <w:r>
        <w:rPr>
          <w:rFonts w:hint="eastAsia"/>
          <w:kern w:val="0"/>
          <w:shd w:val="clear" w:color="auto" w:fill="FFFFFF"/>
          <w:lang w:bidi="ar"/>
        </w:rPr>
        <w:t>亩属于农村集体经济组织留用地，按规定不计提征地社保费，需计提费用共</w:t>
      </w:r>
      <w:r>
        <w:rPr>
          <w:rFonts w:hint="eastAsia"/>
          <w:kern w:val="0"/>
          <w:shd w:val="clear" w:color="auto" w:fill="FFFFFF"/>
          <w:lang w:val="en-US" w:eastAsia="zh-CN" w:bidi="ar"/>
        </w:rPr>
        <w:t>14.00</w:t>
      </w:r>
      <w:r>
        <w:rPr>
          <w:rFonts w:hint="eastAsia" w:ascii="仿宋_GB2312" w:hAnsi="仿宋_GB2312" w:cs="仿宋_GB2312"/>
        </w:rPr>
        <w:t>万元由征地主体（用地单位）一次性预存入我区人力资源社会保障部门开设的“收缴被征地农民养老保障资金过渡户”，单列计提并计入征地成本，纳入工程项目概算。</w:t>
      </w:r>
    </w:p>
    <w:p w14:paraId="66E794EC">
      <w:pPr>
        <w:spacing w:line="560" w:lineRule="exact"/>
        <w:ind w:firstLine="640" w:firstLineChars="200"/>
        <w:rPr>
          <w:rFonts w:ascii="仿宋_GB2312" w:hAnsi="仿宋_GB2312" w:eastAsia="黑体"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t>16</w:t>
      </w:r>
      <w:r>
        <w:rPr>
          <w:rFonts w:hint="eastAsia" w:ascii="仿宋_GB2312" w:hAnsi="仿宋_GB2312" w:cs="仿宋_GB2312"/>
        </w:rPr>
        <w:t>周岁以上的家庭成员，纳入征地社保补贴对象范围。农村集体经济组织另有规定的（如实行土地股份制经济或者集体统一经营土地等情况），可从其规定。</w:t>
      </w:r>
    </w:p>
    <w:p w14:paraId="05F24147">
      <w:pPr>
        <w:spacing w:line="560" w:lineRule="exact"/>
        <w:ind w:firstLine="640" w:firstLineChars="200"/>
        <w:rPr>
          <w:rFonts w:hint="eastAsia" w:ascii="仿宋_GB2312" w:hAnsi="仿宋_GB2312" w:cs="仿宋_GB2312"/>
        </w:rPr>
      </w:pPr>
      <w:r>
        <w:rPr>
          <w:rFonts w:hint="eastAsia" w:ascii="仿宋_GB2312" w:hAnsi="仿宋_GB2312" w:cs="仿宋_GB2312"/>
        </w:rPr>
        <w:t>四、征地社保费分配。</w:t>
      </w:r>
    </w:p>
    <w:p w14:paraId="77632E81">
      <w:pPr>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w:t>
      </w:r>
      <w:r>
        <w:rPr>
          <w:rFonts w:hint="eastAsia" w:ascii="仿宋_GB2312" w:hAnsi="仿宋_GB2312" w:cs="仿宋_GB2312"/>
        </w:rPr>
        <w:t>一</w:t>
      </w:r>
      <w:r>
        <w:rPr>
          <w:rFonts w:hint="eastAsia" w:ascii="仿宋_GB2312" w:hAnsi="仿宋_GB2312" w:cs="仿宋_GB2312"/>
          <w:lang w:eastAsia="zh-CN"/>
        </w:rPr>
        <w:t>）</w:t>
      </w:r>
      <w:r>
        <w:rPr>
          <w:rFonts w:ascii="仿宋_GB2312" w:hAnsi="仿宋_GB2312" w:cs="仿宋_GB2312"/>
        </w:rPr>
        <w:t>征地社保费</w:t>
      </w:r>
      <w:r>
        <w:rPr>
          <w:rFonts w:hint="eastAsia" w:ascii="仿宋_GB2312" w:hAnsi="仿宋_GB2312" w:cs="仿宋_GB2312"/>
        </w:rPr>
        <w:t>专款用于被征地农民的基本养老保险</w:t>
      </w:r>
      <w:r>
        <w:rPr>
          <w:rFonts w:hint="eastAsia" w:ascii="仿宋_GB2312" w:hAnsi="仿宋_GB2312" w:cs="仿宋_GB2312"/>
          <w:lang w:eastAsia="zh-CN"/>
        </w:rPr>
        <w:t>缴费</w:t>
      </w:r>
      <w:r>
        <w:rPr>
          <w:rFonts w:hint="eastAsia" w:ascii="仿宋_GB2312" w:hAnsi="仿宋_GB2312" w:cs="仿宋_GB2312"/>
        </w:rPr>
        <w:t>补贴。</w:t>
      </w:r>
    </w:p>
    <w:p w14:paraId="33B0A60D">
      <w:pPr>
        <w:spacing w:line="56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1.被征地农民参加城乡居民基本养老保险的，征地社保费按规定划入社会保障基金财政专户后计入本人个人账户，合并形成新的个人账户储存额，按规定计息。</w:t>
      </w:r>
    </w:p>
    <w:p w14:paraId="44E59F0B">
      <w:pPr>
        <w:spacing w:line="56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2.被征地农民已经领取城乡居民基本养老金的，将征地社保费一次性划入其个人账户，重核个人账户养老金，从次月起按新标准发放。</w:t>
      </w:r>
    </w:p>
    <w:p w14:paraId="3ECECA50">
      <w:pPr>
        <w:spacing w:line="560" w:lineRule="exact"/>
        <w:ind w:firstLine="640" w:firstLineChars="200"/>
        <w:rPr>
          <w:color w:val="1A1A1F"/>
        </w:rPr>
      </w:pPr>
      <w:r>
        <w:rPr>
          <w:rFonts w:hint="eastAsia" w:ascii="仿宋_GB2312" w:hAnsi="仿宋_GB2312" w:cs="仿宋_GB2312"/>
          <w:lang w:val="en-US" w:eastAsia="zh-CN"/>
        </w:rPr>
        <w:t>3.</w:t>
      </w:r>
      <w:r>
        <w:rPr>
          <w:color w:val="1A1A1F"/>
          <w:spacing w:val="-5"/>
        </w:rPr>
        <w:t>被征地农民参加城镇职工基本养老保险的</w:t>
      </w:r>
      <w:r>
        <w:rPr>
          <w:color w:val="1A1A1F"/>
          <w:spacing w:val="-45"/>
          <w:w w:val="85"/>
        </w:rPr>
        <w:t xml:space="preserve">， </w:t>
      </w:r>
      <w:r>
        <w:rPr>
          <w:color w:val="1A1A1F"/>
        </w:rPr>
        <w:t>可为其建立城</w:t>
      </w:r>
      <w:r>
        <w:rPr>
          <w:color w:val="1A1A1F"/>
          <w:w w:val="95"/>
        </w:rPr>
        <w:t>乡居民基本养老保险个人账户，征地社保费按规定划入社会保障</w:t>
      </w:r>
      <w:r>
        <w:rPr>
          <w:color w:val="1A1A1F"/>
          <w:spacing w:val="-1"/>
          <w:w w:val="95"/>
        </w:rPr>
        <w:t>基金财政专户后计入本人个人账户；被征地农民也可选择将征地</w:t>
      </w:r>
      <w:r>
        <w:rPr>
          <w:color w:val="1A1A1F"/>
        </w:rPr>
        <w:t>社保费用于补贴本人的职工养老保险个人缴费。</w:t>
      </w:r>
    </w:p>
    <w:p w14:paraId="627E4592">
      <w:pPr>
        <w:pStyle w:val="2"/>
        <w:rPr>
          <w:rFonts w:hint="default" w:eastAsia="仿宋_GB2312"/>
          <w:lang w:val="en-US" w:eastAsia="zh-CN"/>
        </w:rPr>
      </w:pPr>
      <w:r>
        <w:rPr>
          <w:rFonts w:hint="eastAsia"/>
          <w:color w:val="1A1A1F"/>
          <w:lang w:val="en-US" w:eastAsia="zh-CN"/>
        </w:rPr>
        <w:t>4.被征地农民</w:t>
      </w:r>
      <w:r>
        <w:rPr>
          <w:rFonts w:hint="default"/>
          <w:color w:val="1A1A1F"/>
          <w:lang w:eastAsia="zh-CN"/>
        </w:rPr>
        <w:t>已经</w:t>
      </w:r>
      <w:r>
        <w:rPr>
          <w:rFonts w:hint="eastAsia"/>
          <w:color w:val="1A1A1F"/>
          <w:lang w:val="en-US" w:eastAsia="zh-CN"/>
        </w:rPr>
        <w:t>领取城镇职工基本养老金的，将征地社保费一次性支付本人。</w:t>
      </w:r>
    </w:p>
    <w:p w14:paraId="3C59A519">
      <w:pPr>
        <w:spacing w:line="560" w:lineRule="exact"/>
        <w:ind w:firstLine="640" w:firstLineChars="200"/>
        <w:rPr>
          <w:rFonts w:ascii="仿宋_GB2312" w:hAnsi="仿宋_GB2312" w:cs="仿宋_GB2312"/>
        </w:rPr>
      </w:pPr>
      <w:r>
        <w:rPr>
          <w:rFonts w:hint="eastAsia" w:ascii="仿宋_GB2312" w:hAnsi="仿宋_GB2312" w:cs="仿宋_GB2312"/>
          <w:lang w:eastAsia="zh-CN"/>
        </w:rPr>
        <w:t>（二）</w:t>
      </w:r>
      <w:r>
        <w:rPr>
          <w:rFonts w:hint="eastAsia" w:ascii="仿宋_GB2312" w:hAnsi="仿宋_GB2312" w:cs="仿宋_GB2312"/>
        </w:rPr>
        <w:t>落实</w:t>
      </w:r>
      <w:r>
        <w:rPr>
          <w:rFonts w:hint="eastAsia" w:ascii="仿宋_GB2312" w:hAnsi="仿宋_GB2312" w:cs="仿宋_GB2312"/>
          <w:bCs/>
        </w:rPr>
        <w:t>“</w:t>
      </w:r>
      <w:r>
        <w:rPr>
          <w:rFonts w:ascii="仿宋_GB2312" w:hAnsi="仿宋_GB2312" w:cs="仿宋_GB2312"/>
          <w:bCs/>
        </w:rPr>
        <w:t>征地社保费与征地安置补偿费同期拨付</w:t>
      </w:r>
      <w:r>
        <w:rPr>
          <w:rFonts w:hint="eastAsia" w:ascii="仿宋_GB2312" w:hAnsi="仿宋_GB2312" w:cs="仿宋_GB2312"/>
          <w:bCs/>
        </w:rPr>
        <w:t>”和“在项目获批后</w:t>
      </w:r>
      <w:r>
        <w:rPr>
          <w:bCs/>
        </w:rPr>
        <w:t>3</w:t>
      </w:r>
      <w:r>
        <w:rPr>
          <w:rFonts w:hint="eastAsia" w:ascii="仿宋_GB2312" w:hAnsi="仿宋_GB2312" w:cs="仿宋_GB2312"/>
          <w:bCs/>
        </w:rPr>
        <w:t>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14:paraId="431B0F2A">
      <w:pPr>
        <w:pStyle w:val="2"/>
        <w:spacing w:line="560" w:lineRule="exact"/>
        <w:ind w:firstLine="0" w:firstLineChars="0"/>
      </w:pPr>
    </w:p>
    <w:p w14:paraId="3B7425F5">
      <w:pPr>
        <w:spacing w:line="560" w:lineRule="exact"/>
        <w:ind w:firstLine="640" w:firstLineChars="200"/>
        <w:rPr>
          <w:rFonts w:ascii="仿宋_GB2312" w:hAnsi="仿宋_GB2312" w:cs="仿宋_GB2312"/>
        </w:rPr>
      </w:pPr>
      <w:r>
        <w:rPr>
          <w:rFonts w:hint="eastAsia" w:ascii="仿宋_GB2312" w:hAnsi="仿宋_GB2312" w:cs="仿宋_GB2312"/>
        </w:rPr>
        <w:t>附件：征地土地和养老保障情况表</w:t>
      </w:r>
    </w:p>
    <w:p w14:paraId="4953B0FB">
      <w:pPr>
        <w:pStyle w:val="2"/>
        <w:ind w:firstLine="640"/>
      </w:pPr>
    </w:p>
    <w:p w14:paraId="446D688D">
      <w:pPr>
        <w:spacing w:line="560" w:lineRule="exact"/>
        <w:ind w:firstLine="3200" w:firstLineChars="1000"/>
        <w:rPr>
          <w:rFonts w:ascii="仿宋_GB2312" w:hAnsi="仿宋_GB2312" w:cs="仿宋_GB2312"/>
        </w:rPr>
      </w:pPr>
      <w:r>
        <w:rPr>
          <w:rFonts w:hint="eastAsia" w:ascii="仿宋_GB2312" w:hAnsi="仿宋_GB2312" w:cs="仿宋_GB2312"/>
        </w:rPr>
        <w:t>广州市花都区人力资源和社会保障局</w:t>
      </w:r>
    </w:p>
    <w:p w14:paraId="17CE1AB5">
      <w:pPr>
        <w:spacing w:line="560" w:lineRule="exact"/>
        <w:rPr>
          <w:rFonts w:ascii="仿宋_GB2312" w:hAnsi="仿宋_GB2312" w:cs="仿宋_GB2312"/>
          <w:kern w:val="0"/>
          <w:shd w:val="clear" w:color="auto" w:fill="FFFFFF"/>
          <w:lang w:bidi="ar"/>
        </w:rPr>
      </w:pPr>
      <w:r>
        <w:rPr>
          <w:rFonts w:hint="eastAsia" w:ascii="仿宋_GB2312" w:hAnsi="仿宋_GB2312" w:cs="仿宋_GB2312"/>
        </w:rPr>
        <w:t xml:space="preserve">                              </w:t>
      </w:r>
      <w:r>
        <w:t>202</w:t>
      </w:r>
      <w:r>
        <w:rPr>
          <w:rFonts w:hint="eastAsia"/>
        </w:rPr>
        <w:t>6</w:t>
      </w:r>
      <w:r>
        <w:t>年</w:t>
      </w:r>
      <w:r>
        <w:rPr>
          <w:rFonts w:hint="eastAsia"/>
          <w:lang w:val="en-US" w:eastAsia="zh-CN"/>
        </w:rPr>
        <w:t>6</w:t>
      </w:r>
      <w:r>
        <w:t>月</w:t>
      </w:r>
      <w:r>
        <w:rPr>
          <w:rFonts w:hint="eastAsia"/>
          <w:kern w:val="0"/>
          <w:shd w:val="clear" w:color="auto" w:fill="FFFFFF"/>
          <w:lang w:val="en-US" w:eastAsia="zh-CN" w:bidi="ar"/>
        </w:rPr>
        <w:t>24</w:t>
      </w:r>
      <w:r>
        <w:rPr>
          <w:kern w:val="0"/>
          <w:shd w:val="clear" w:color="auto" w:fill="FFFFFF"/>
          <w:lang w:bidi="ar"/>
        </w:rPr>
        <w:t>日</w:t>
      </w:r>
    </w:p>
    <w:p w14:paraId="003CD229">
      <w:pPr>
        <w:rPr>
          <w:rFonts w:ascii="仿宋_GB2312" w:hAnsi="仿宋_GB2312" w:cs="仿宋_GB2312"/>
          <w:color w:val="FF0000"/>
          <w:kern w:val="0"/>
          <w:shd w:val="clear" w:color="auto" w:fill="FFFFFF"/>
          <w:lang w:bidi="ar"/>
        </w:rPr>
      </w:pPr>
      <w:r>
        <w:rPr>
          <w:rFonts w:hint="eastAsia" w:ascii="仿宋_GB2312" w:hAnsi="仿宋_GB2312" w:cs="仿宋_GB2312"/>
          <w:color w:val="FF0000"/>
          <w:kern w:val="0"/>
          <w:shd w:val="clear" w:color="auto" w:fill="FFFFFF"/>
          <w:lang w:bidi="ar"/>
        </w:rPr>
        <w:br w:type="page"/>
      </w:r>
    </w:p>
    <w:p w14:paraId="33144824">
      <w:pPr>
        <w:rPr>
          <w:rFonts w:ascii="黑体" w:hAnsi="黑体" w:eastAsia="黑体" w:cs="黑体"/>
        </w:rPr>
      </w:pPr>
      <w:r>
        <w:rPr>
          <w:rFonts w:hint="eastAsia" w:ascii="黑体" w:hAnsi="黑体" w:eastAsia="黑体" w:cs="黑体"/>
        </w:rPr>
        <w:t>附件</w:t>
      </w:r>
    </w:p>
    <w:p w14:paraId="198DAFA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7C9794AD">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7"/>
        <w:tblpPr w:leftFromText="180" w:rightFromText="180" w:vertAnchor="text" w:horzAnchor="page" w:tblpX="1326"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5"/>
        <w:gridCol w:w="3000"/>
        <w:gridCol w:w="1426"/>
        <w:gridCol w:w="1845"/>
        <w:gridCol w:w="1556"/>
      </w:tblGrid>
      <w:tr w14:paraId="308B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3885" w:type="dxa"/>
            <w:gridSpan w:val="2"/>
          </w:tcPr>
          <w:p w14:paraId="7B2214C3">
            <w:pPr>
              <w:pStyle w:val="10"/>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sz w:val="28"/>
                <w:szCs w:val="28"/>
              </w:rPr>
            </w:pPr>
          </w:p>
          <w:p w14:paraId="148FFE9F">
            <w:pPr>
              <w:pStyle w:val="10"/>
              <w:keepNext w:val="0"/>
              <w:keepLines w:val="0"/>
              <w:pageBreakBefore w:val="0"/>
              <w:widowControl w:val="0"/>
              <w:kinsoku/>
              <w:wordWrap/>
              <w:overflowPunct/>
              <w:topLinePunct w:val="0"/>
              <w:autoSpaceDE w:val="0"/>
              <w:autoSpaceDN w:val="0"/>
              <w:bidi w:val="0"/>
              <w:adjustRightInd/>
              <w:snapToGrid/>
              <w:spacing w:line="400" w:lineRule="exact"/>
              <w:ind w:right="1344"/>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被征</w:t>
            </w:r>
            <w:r>
              <w:rPr>
                <w:rFonts w:hint="eastAsia" w:ascii="仿宋_GB2312" w:hAnsi="仿宋_GB2312" w:eastAsia="仿宋_GB2312" w:cs="仿宋_GB2312"/>
                <w:color w:val="131313"/>
                <w:w w:val="105"/>
                <w:sz w:val="28"/>
                <w:szCs w:val="28"/>
                <w:lang w:eastAsia="zh-CN"/>
              </w:rPr>
              <w:t>地单位</w:t>
            </w:r>
          </w:p>
        </w:tc>
        <w:tc>
          <w:tcPr>
            <w:tcW w:w="1426" w:type="dxa"/>
          </w:tcPr>
          <w:p w14:paraId="27DBFF57">
            <w:pPr>
              <w:pStyle w:val="10"/>
              <w:keepNext w:val="0"/>
              <w:keepLines w:val="0"/>
              <w:pageBreakBefore w:val="0"/>
              <w:widowControl w:val="0"/>
              <w:kinsoku/>
              <w:wordWrap/>
              <w:overflowPunct/>
              <w:topLinePunct w:val="0"/>
              <w:autoSpaceDE w:val="0"/>
              <w:autoSpaceDN w:val="0"/>
              <w:bidi w:val="0"/>
              <w:adjustRightInd/>
              <w:snapToGrid/>
              <w:spacing w:before="1" w:line="400" w:lineRule="exact"/>
              <w:textAlignment w:val="auto"/>
              <w:rPr>
                <w:rFonts w:hint="eastAsia" w:ascii="仿宋_GB2312" w:hAnsi="仿宋_GB2312" w:eastAsia="仿宋_GB2312" w:cs="仿宋_GB2312"/>
                <w:sz w:val="28"/>
                <w:szCs w:val="28"/>
              </w:rPr>
            </w:pPr>
          </w:p>
          <w:p w14:paraId="36FD56CF">
            <w:pPr>
              <w:pStyle w:val="10"/>
              <w:keepNext w:val="0"/>
              <w:keepLines w:val="0"/>
              <w:pageBreakBefore w:val="0"/>
              <w:widowControl w:val="0"/>
              <w:kinsoku/>
              <w:wordWrap/>
              <w:overflowPunct/>
              <w:topLinePunct w:val="0"/>
              <w:autoSpaceDE w:val="0"/>
              <w:autoSpaceDN w:val="0"/>
              <w:bidi w:val="0"/>
              <w:adjustRightInd/>
              <w:snapToGrid/>
              <w:spacing w:before="1" w:line="400" w:lineRule="exact"/>
              <w:ind w:left="39" w:right="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10"/>
                <w:sz w:val="28"/>
                <w:szCs w:val="28"/>
              </w:rPr>
              <w:t>征收土地面积</w:t>
            </w:r>
          </w:p>
        </w:tc>
        <w:tc>
          <w:tcPr>
            <w:tcW w:w="1845" w:type="dxa"/>
          </w:tcPr>
          <w:p w14:paraId="199F6C4F">
            <w:pPr>
              <w:pStyle w:val="10"/>
              <w:keepNext w:val="0"/>
              <w:keepLines w:val="0"/>
              <w:pageBreakBefore w:val="0"/>
              <w:widowControl w:val="0"/>
              <w:kinsoku/>
              <w:wordWrap/>
              <w:overflowPunct/>
              <w:topLinePunct w:val="0"/>
              <w:autoSpaceDE w:val="0"/>
              <w:autoSpaceDN w:val="0"/>
              <w:bidi w:val="0"/>
              <w:adjustRightInd/>
              <w:snapToGrid/>
              <w:spacing w:before="1" w:line="400" w:lineRule="exact"/>
              <w:textAlignment w:val="auto"/>
              <w:rPr>
                <w:rFonts w:hint="eastAsia" w:ascii="仿宋_GB2312" w:hAnsi="仿宋_GB2312" w:eastAsia="仿宋_GB2312" w:cs="仿宋_GB2312"/>
                <w:sz w:val="28"/>
                <w:szCs w:val="28"/>
              </w:rPr>
            </w:pPr>
          </w:p>
          <w:p w14:paraId="68389F34">
            <w:pPr>
              <w:pStyle w:val="10"/>
              <w:keepNext w:val="0"/>
              <w:keepLines w:val="0"/>
              <w:pageBreakBefore w:val="0"/>
              <w:widowControl w:val="0"/>
              <w:kinsoku/>
              <w:wordWrap/>
              <w:overflowPunct/>
              <w:topLinePunct w:val="0"/>
              <w:autoSpaceDE w:val="0"/>
              <w:autoSpaceDN w:val="0"/>
              <w:bidi w:val="0"/>
              <w:adjustRightInd/>
              <w:snapToGrid/>
              <w:spacing w:line="400" w:lineRule="exact"/>
              <w:ind w:left="119" w:right="136" w:hanging="4"/>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其中属</w:t>
            </w:r>
            <w:r>
              <w:rPr>
                <w:rFonts w:hint="eastAsia" w:ascii="仿宋_GB2312" w:hAnsi="仿宋_GB2312" w:eastAsia="仿宋_GB2312" w:cs="仿宋_GB2312"/>
                <w:color w:val="131313"/>
                <w:w w:val="105"/>
                <w:sz w:val="28"/>
                <w:szCs w:val="28"/>
                <w:lang w:eastAsia="zh-CN"/>
              </w:rPr>
              <w:t>于</w:t>
            </w:r>
            <w:r>
              <w:rPr>
                <w:rFonts w:hint="eastAsia" w:ascii="仿宋_GB2312" w:hAnsi="仿宋_GB2312" w:eastAsia="仿宋_GB2312" w:cs="仿宋_GB2312"/>
                <w:color w:val="131313"/>
                <w:w w:val="105"/>
                <w:sz w:val="28"/>
                <w:szCs w:val="28"/>
              </w:rPr>
              <w:t>被征地单位留用地面积</w:t>
            </w:r>
          </w:p>
        </w:tc>
        <w:tc>
          <w:tcPr>
            <w:tcW w:w="1556" w:type="dxa"/>
          </w:tcPr>
          <w:p w14:paraId="1DBC2517">
            <w:pPr>
              <w:pStyle w:val="10"/>
              <w:keepNext w:val="0"/>
              <w:keepLines w:val="0"/>
              <w:pageBreakBefore w:val="0"/>
              <w:widowControl w:val="0"/>
              <w:kinsoku/>
              <w:wordWrap/>
              <w:overflowPunct/>
              <w:topLinePunct w:val="0"/>
              <w:autoSpaceDE w:val="0"/>
              <w:autoSpaceDN w:val="0"/>
              <w:bidi w:val="0"/>
              <w:adjustRightInd/>
              <w:snapToGrid/>
              <w:spacing w:before="6" w:line="400" w:lineRule="exact"/>
              <w:textAlignment w:val="auto"/>
              <w:rPr>
                <w:rFonts w:hint="eastAsia" w:ascii="仿宋_GB2312" w:hAnsi="仿宋_GB2312" w:eastAsia="仿宋_GB2312" w:cs="仿宋_GB2312"/>
                <w:sz w:val="28"/>
                <w:szCs w:val="28"/>
              </w:rPr>
            </w:pPr>
          </w:p>
          <w:p w14:paraId="33A86028">
            <w:pPr>
              <w:pStyle w:val="10"/>
              <w:keepNext w:val="0"/>
              <w:keepLines w:val="0"/>
              <w:pageBreakBefore w:val="0"/>
              <w:widowControl w:val="0"/>
              <w:kinsoku/>
              <w:wordWrap/>
              <w:overflowPunct/>
              <w:topLinePunct w:val="0"/>
              <w:autoSpaceDE w:val="0"/>
              <w:autoSpaceDN w:val="0"/>
              <w:bidi w:val="0"/>
              <w:adjustRightInd/>
              <w:snapToGrid/>
              <w:spacing w:line="400" w:lineRule="exact"/>
              <w:ind w:left="282" w:right="58" w:hanging="241"/>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需计提征地</w:t>
            </w:r>
            <w:r>
              <w:rPr>
                <w:rFonts w:hint="eastAsia" w:ascii="仿宋_GB2312" w:hAnsi="仿宋_GB2312" w:eastAsia="仿宋_GB2312" w:cs="仿宋_GB2312"/>
                <w:color w:val="131313"/>
                <w:w w:val="110"/>
                <w:sz w:val="28"/>
                <w:szCs w:val="28"/>
              </w:rPr>
              <w:t>社保费</w:t>
            </w:r>
          </w:p>
        </w:tc>
      </w:tr>
      <w:tr w14:paraId="3932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trPr>
        <w:tc>
          <w:tcPr>
            <w:tcW w:w="885" w:type="dxa"/>
            <w:vMerge w:val="restart"/>
          </w:tcPr>
          <w:p w14:paraId="388B16F2">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02310F27">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6BF9BE0B">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77506591">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5FB03452">
            <w:pPr>
              <w:pStyle w:val="10"/>
              <w:keepNext w:val="0"/>
              <w:keepLines w:val="0"/>
              <w:pageBreakBefore w:val="0"/>
              <w:widowControl w:val="0"/>
              <w:kinsoku/>
              <w:wordWrap/>
              <w:overflowPunct/>
              <w:topLinePunct w:val="0"/>
              <w:autoSpaceDE w:val="0"/>
              <w:autoSpaceDN w:val="0"/>
              <w:bidi w:val="0"/>
              <w:adjustRightInd/>
              <w:snapToGrid/>
              <w:spacing w:before="8" w:line="560" w:lineRule="exact"/>
              <w:textAlignment w:val="auto"/>
              <w:rPr>
                <w:rFonts w:hint="eastAsia" w:ascii="仿宋_GB2312" w:hAnsi="仿宋_GB2312" w:eastAsia="仿宋_GB2312" w:cs="仿宋_GB2312"/>
                <w:sz w:val="28"/>
                <w:szCs w:val="28"/>
              </w:rPr>
            </w:pPr>
          </w:p>
          <w:p w14:paraId="1FA712DD">
            <w:pPr>
              <w:pStyle w:val="10"/>
              <w:keepNext w:val="0"/>
              <w:keepLines w:val="0"/>
              <w:pageBreakBefore w:val="0"/>
              <w:widowControl w:val="0"/>
              <w:kinsoku/>
              <w:wordWrap/>
              <w:overflowPunct/>
              <w:topLinePunct w:val="0"/>
              <w:autoSpaceDE w:val="0"/>
              <w:autoSpaceDN w:val="0"/>
              <w:bidi w:val="0"/>
              <w:adjustRightInd/>
              <w:snapToGrid/>
              <w:spacing w:line="560" w:lineRule="exact"/>
              <w:ind w:left="71"/>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lang w:eastAsia="zh-CN"/>
              </w:rPr>
              <w:t>狮岭</w:t>
            </w:r>
            <w:r>
              <w:rPr>
                <w:rFonts w:hint="eastAsia" w:ascii="仿宋_GB2312" w:hAnsi="仿宋_GB2312" w:eastAsia="仿宋_GB2312" w:cs="仿宋_GB2312"/>
                <w:color w:val="282828"/>
                <w:w w:val="110"/>
                <w:sz w:val="28"/>
                <w:szCs w:val="28"/>
              </w:rPr>
              <w:t>镇</w:t>
            </w:r>
          </w:p>
        </w:tc>
        <w:tc>
          <w:tcPr>
            <w:tcW w:w="3000" w:type="dxa"/>
          </w:tcPr>
          <w:p w14:paraId="67599A1A">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05"/>
                <w:sz w:val="28"/>
                <w:szCs w:val="28"/>
              </w:rPr>
              <w:t>新庄村福星组集体经济组</w:t>
            </w:r>
            <w:r>
              <w:rPr>
                <w:rFonts w:hint="eastAsia" w:ascii="仿宋_GB2312" w:hAnsi="仿宋_GB2312" w:eastAsia="仿宋_GB2312" w:cs="仿宋_GB2312"/>
                <w:color w:val="282828"/>
                <w:sz w:val="28"/>
                <w:szCs w:val="28"/>
              </w:rPr>
              <w:t>织、新庄村上庄组集体经济组织、新庄村下庄组集体经济组织、新庄村新三组集体经济组织、新庄村向群组集体经济组织、新庄村集体经济组织（共有）</w:t>
            </w:r>
          </w:p>
        </w:tc>
        <w:tc>
          <w:tcPr>
            <w:tcW w:w="1426" w:type="dxa"/>
          </w:tcPr>
          <w:p w14:paraId="0AD2C664">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2C614996">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5A1B3E5B">
            <w:pPr>
              <w:pStyle w:val="10"/>
              <w:keepNext w:val="0"/>
              <w:keepLines w:val="0"/>
              <w:pageBreakBefore w:val="0"/>
              <w:widowControl w:val="0"/>
              <w:kinsoku/>
              <w:wordWrap/>
              <w:overflowPunct/>
              <w:topLinePunct w:val="0"/>
              <w:autoSpaceDE w:val="0"/>
              <w:autoSpaceDN w:val="0"/>
              <w:bidi w:val="0"/>
              <w:adjustRightInd/>
              <w:snapToGrid/>
              <w:spacing w:before="12" w:line="560" w:lineRule="exact"/>
              <w:textAlignment w:val="auto"/>
              <w:rPr>
                <w:rFonts w:hint="eastAsia" w:ascii="仿宋_GB2312" w:hAnsi="仿宋_GB2312" w:eastAsia="仿宋_GB2312" w:cs="仿宋_GB2312"/>
                <w:sz w:val="28"/>
                <w:szCs w:val="28"/>
              </w:rPr>
            </w:pPr>
          </w:p>
          <w:p w14:paraId="758C8E43">
            <w:pPr>
              <w:pStyle w:val="10"/>
              <w:keepNext w:val="0"/>
              <w:keepLines w:val="0"/>
              <w:pageBreakBefore w:val="0"/>
              <w:widowControl w:val="0"/>
              <w:kinsoku/>
              <w:wordWrap/>
              <w:overflowPunct/>
              <w:topLinePunct w:val="0"/>
              <w:autoSpaceDE w:val="0"/>
              <w:autoSpaceDN w:val="0"/>
              <w:bidi w:val="0"/>
              <w:adjustRightInd/>
              <w:snapToGrid/>
              <w:spacing w:line="560" w:lineRule="exact"/>
              <w:ind w:left="39" w:right="15"/>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 xml:space="preserve">1. </w:t>
            </w:r>
            <w:r>
              <w:rPr>
                <w:rFonts w:hint="eastAsia" w:ascii="仿宋_GB2312" w:hAnsi="仿宋_GB2312" w:eastAsia="仿宋_GB2312" w:cs="仿宋_GB2312"/>
                <w:color w:val="282828"/>
                <w:w w:val="105"/>
                <w:sz w:val="28"/>
                <w:szCs w:val="28"/>
              </w:rPr>
              <w:t>3335</w:t>
            </w:r>
          </w:p>
        </w:tc>
        <w:tc>
          <w:tcPr>
            <w:tcW w:w="1845" w:type="dxa"/>
          </w:tcPr>
          <w:p w14:paraId="1035559A">
            <w:pPr>
              <w:pStyle w:val="10"/>
              <w:keepNext w:val="0"/>
              <w:keepLines w:val="0"/>
              <w:pageBreakBefore w:val="0"/>
              <w:widowControl w:val="0"/>
              <w:kinsoku/>
              <w:wordWrap/>
              <w:overflowPunct/>
              <w:topLinePunct w:val="0"/>
              <w:autoSpaceDE w:val="0"/>
              <w:autoSpaceDN w:val="0"/>
              <w:bidi w:val="0"/>
              <w:adjustRightInd/>
              <w:snapToGrid/>
              <w:spacing w:before="520" w:line="560" w:lineRule="exact"/>
              <w:jc w:val="center"/>
              <w:textAlignment w:val="auto"/>
              <w:rPr>
                <w:rFonts w:hint="eastAsia" w:ascii="仿宋_GB2312" w:hAnsi="仿宋_GB2312" w:eastAsia="仿宋_GB2312" w:cs="仿宋_GB2312"/>
                <w:sz w:val="28"/>
                <w:szCs w:val="28"/>
                <w:lang w:val="en-US" w:eastAsia="zh-CN"/>
              </w:rPr>
            </w:pPr>
          </w:p>
          <w:p w14:paraId="51AF2C3C">
            <w:pPr>
              <w:pStyle w:val="10"/>
              <w:keepNext w:val="0"/>
              <w:keepLines w:val="0"/>
              <w:pageBreakBefore w:val="0"/>
              <w:widowControl w:val="0"/>
              <w:kinsoku/>
              <w:wordWrap/>
              <w:overflowPunct/>
              <w:topLinePunct w:val="0"/>
              <w:autoSpaceDE w:val="0"/>
              <w:autoSpaceDN w:val="0"/>
              <w:bidi w:val="0"/>
              <w:adjustRightInd/>
              <w:snapToGrid/>
              <w:spacing w:before="520"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556" w:type="dxa"/>
          </w:tcPr>
          <w:p w14:paraId="0FF28AD1">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0F91A1FC">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p w14:paraId="7E93B321">
            <w:pPr>
              <w:pStyle w:val="10"/>
              <w:keepNext w:val="0"/>
              <w:keepLines w:val="0"/>
              <w:pageBreakBefore w:val="0"/>
              <w:widowControl w:val="0"/>
              <w:kinsoku/>
              <w:wordWrap/>
              <w:overflowPunct/>
              <w:topLinePunct w:val="0"/>
              <w:autoSpaceDE w:val="0"/>
              <w:autoSpaceDN w:val="0"/>
              <w:bidi w:val="0"/>
              <w:adjustRightInd/>
              <w:snapToGrid/>
              <w:spacing w:before="12" w:line="560" w:lineRule="exact"/>
              <w:textAlignment w:val="auto"/>
              <w:rPr>
                <w:rFonts w:hint="eastAsia" w:ascii="仿宋_GB2312" w:hAnsi="仿宋_GB2312" w:eastAsia="仿宋_GB2312" w:cs="仿宋_GB2312"/>
                <w:sz w:val="28"/>
                <w:szCs w:val="28"/>
              </w:rPr>
            </w:pPr>
          </w:p>
          <w:p w14:paraId="77836000">
            <w:pPr>
              <w:pStyle w:val="10"/>
              <w:keepNext w:val="0"/>
              <w:keepLines w:val="0"/>
              <w:pageBreakBefore w:val="0"/>
              <w:widowControl w:val="0"/>
              <w:kinsoku/>
              <w:wordWrap/>
              <w:overflowPunct/>
              <w:topLinePunct w:val="0"/>
              <w:autoSpaceDE w:val="0"/>
              <w:autoSpaceDN w:val="0"/>
              <w:bidi w:val="0"/>
              <w:adjustRightInd/>
              <w:snapToGrid/>
              <w:spacing w:line="560" w:lineRule="exact"/>
              <w:ind w:left="326" w:right="294"/>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rPr>
              <w:t>2.86</w:t>
            </w:r>
          </w:p>
        </w:tc>
      </w:tr>
      <w:tr w14:paraId="737F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885" w:type="dxa"/>
            <w:vMerge w:val="continue"/>
            <w:tcBorders>
              <w:top w:val="nil"/>
            </w:tcBorders>
          </w:tcPr>
          <w:p w14:paraId="52038067">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p>
        </w:tc>
        <w:tc>
          <w:tcPr>
            <w:tcW w:w="3000" w:type="dxa"/>
          </w:tcPr>
          <w:p w14:paraId="16BA2F10">
            <w:pPr>
              <w:pStyle w:val="10"/>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_GB2312" w:hAnsi="仿宋_GB2312" w:eastAsia="仿宋_GB2312" w:cs="仿宋_GB2312"/>
                <w:sz w:val="28"/>
                <w:szCs w:val="28"/>
              </w:rPr>
            </w:pPr>
          </w:p>
          <w:p w14:paraId="0AAF2594">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05"/>
                <w:sz w:val="28"/>
                <w:szCs w:val="28"/>
              </w:rPr>
              <w:t>新庄村集体经济组织</w:t>
            </w:r>
          </w:p>
        </w:tc>
        <w:tc>
          <w:tcPr>
            <w:tcW w:w="1426" w:type="dxa"/>
          </w:tcPr>
          <w:p w14:paraId="36B36CF7">
            <w:pPr>
              <w:pStyle w:val="10"/>
              <w:keepNext w:val="0"/>
              <w:keepLines w:val="0"/>
              <w:pageBreakBefore w:val="0"/>
              <w:widowControl w:val="0"/>
              <w:kinsoku/>
              <w:wordWrap/>
              <w:overflowPunct/>
              <w:topLinePunct w:val="0"/>
              <w:autoSpaceDE w:val="0"/>
              <w:autoSpaceDN w:val="0"/>
              <w:bidi w:val="0"/>
              <w:adjustRightInd/>
              <w:snapToGrid/>
              <w:spacing w:before="5" w:line="560" w:lineRule="exact"/>
              <w:textAlignment w:val="auto"/>
              <w:rPr>
                <w:rFonts w:hint="eastAsia" w:ascii="仿宋_GB2312" w:hAnsi="仿宋_GB2312" w:eastAsia="仿宋_GB2312" w:cs="仿宋_GB2312"/>
                <w:sz w:val="28"/>
                <w:szCs w:val="28"/>
              </w:rPr>
            </w:pPr>
          </w:p>
          <w:p w14:paraId="715085A4">
            <w:pPr>
              <w:pStyle w:val="10"/>
              <w:keepNext w:val="0"/>
              <w:keepLines w:val="0"/>
              <w:pageBreakBefore w:val="0"/>
              <w:widowControl w:val="0"/>
              <w:kinsoku/>
              <w:wordWrap/>
              <w:overflowPunct/>
              <w:topLinePunct w:val="0"/>
              <w:autoSpaceDE w:val="0"/>
              <w:autoSpaceDN w:val="0"/>
              <w:bidi w:val="0"/>
              <w:adjustRightInd/>
              <w:snapToGrid/>
              <w:spacing w:line="560" w:lineRule="exact"/>
              <w:ind w:left="39" w:right="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10"/>
                <w:sz w:val="28"/>
                <w:szCs w:val="28"/>
              </w:rPr>
              <w:t>5.205</w:t>
            </w:r>
          </w:p>
        </w:tc>
        <w:tc>
          <w:tcPr>
            <w:tcW w:w="1845" w:type="dxa"/>
          </w:tcPr>
          <w:p w14:paraId="3EF6096D">
            <w:pPr>
              <w:pStyle w:val="10"/>
              <w:keepNext w:val="0"/>
              <w:keepLines w:val="0"/>
              <w:pageBreakBefore w:val="0"/>
              <w:widowControl w:val="0"/>
              <w:kinsoku/>
              <w:wordWrap/>
              <w:overflowPunct/>
              <w:topLinePunct w:val="0"/>
              <w:autoSpaceDE w:val="0"/>
              <w:autoSpaceDN w:val="0"/>
              <w:bidi w:val="0"/>
              <w:adjustRightInd/>
              <w:snapToGrid/>
              <w:spacing w:before="497" w:line="560" w:lineRule="exact"/>
              <w:ind w:left="82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1556" w:type="dxa"/>
          </w:tcPr>
          <w:p w14:paraId="06889544">
            <w:pPr>
              <w:pStyle w:val="10"/>
              <w:keepNext w:val="0"/>
              <w:keepLines w:val="0"/>
              <w:pageBreakBefore w:val="0"/>
              <w:widowControl w:val="0"/>
              <w:kinsoku/>
              <w:wordWrap/>
              <w:overflowPunct/>
              <w:topLinePunct w:val="0"/>
              <w:autoSpaceDE w:val="0"/>
              <w:autoSpaceDN w:val="0"/>
              <w:bidi w:val="0"/>
              <w:adjustRightInd/>
              <w:snapToGrid/>
              <w:spacing w:before="5" w:line="560" w:lineRule="exact"/>
              <w:textAlignment w:val="auto"/>
              <w:rPr>
                <w:rFonts w:hint="eastAsia" w:ascii="仿宋_GB2312" w:hAnsi="仿宋_GB2312" w:eastAsia="仿宋_GB2312" w:cs="仿宋_GB2312"/>
                <w:sz w:val="28"/>
                <w:szCs w:val="28"/>
              </w:rPr>
            </w:pPr>
          </w:p>
          <w:p w14:paraId="244DF1E8">
            <w:pPr>
              <w:pStyle w:val="10"/>
              <w:keepNext w:val="0"/>
              <w:keepLines w:val="0"/>
              <w:pageBreakBefore w:val="0"/>
              <w:widowControl w:val="0"/>
              <w:kinsoku/>
              <w:wordWrap/>
              <w:overflowPunct/>
              <w:topLinePunct w:val="0"/>
              <w:autoSpaceDE w:val="0"/>
              <w:autoSpaceDN w:val="0"/>
              <w:bidi w:val="0"/>
              <w:adjustRightInd/>
              <w:snapToGrid/>
              <w:spacing w:line="560" w:lineRule="exact"/>
              <w:ind w:left="326" w:right="2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05"/>
                <w:sz w:val="28"/>
                <w:szCs w:val="28"/>
              </w:rPr>
              <w:t>11</w:t>
            </w:r>
            <w:r>
              <w:rPr>
                <w:rFonts w:hint="eastAsia" w:ascii="仿宋_GB2312" w:hAnsi="仿宋_GB2312" w:eastAsia="仿宋_GB2312" w:cs="仿宋_GB2312"/>
                <w:color w:val="282828"/>
                <w:w w:val="105"/>
                <w:sz w:val="28"/>
                <w:szCs w:val="28"/>
                <w:lang w:val="en-US" w:eastAsia="zh-CN"/>
              </w:rPr>
              <w:t>.</w:t>
            </w:r>
            <w:r>
              <w:rPr>
                <w:rFonts w:hint="eastAsia" w:ascii="仿宋_GB2312" w:hAnsi="仿宋_GB2312" w:eastAsia="仿宋_GB2312" w:cs="仿宋_GB2312"/>
                <w:color w:val="282828"/>
                <w:w w:val="105"/>
                <w:sz w:val="28"/>
                <w:szCs w:val="28"/>
              </w:rPr>
              <w:t>14</w:t>
            </w:r>
          </w:p>
        </w:tc>
      </w:tr>
      <w:tr w14:paraId="00D8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3885" w:type="dxa"/>
            <w:gridSpan w:val="2"/>
            <w:vAlign w:val="center"/>
          </w:tcPr>
          <w:p w14:paraId="79EADADC">
            <w:pPr>
              <w:pStyle w:val="10"/>
              <w:keepNext w:val="0"/>
              <w:keepLines w:val="0"/>
              <w:pageBreakBefore w:val="0"/>
              <w:widowControl w:val="0"/>
              <w:kinsoku/>
              <w:wordWrap/>
              <w:overflowPunct/>
              <w:topLinePunct w:val="0"/>
              <w:autoSpaceDE w:val="0"/>
              <w:autoSpaceDN w:val="0"/>
              <w:bidi w:val="0"/>
              <w:adjustRightInd/>
              <w:snapToGrid/>
              <w:spacing w:before="1" w:line="560" w:lineRule="exact"/>
              <w:jc w:val="center"/>
              <w:textAlignment w:val="auto"/>
              <w:rPr>
                <w:rFonts w:hint="eastAsia" w:ascii="仿宋_GB2312" w:hAnsi="仿宋_GB2312" w:eastAsia="仿宋_GB2312" w:cs="仿宋_GB2312"/>
                <w:sz w:val="28"/>
                <w:szCs w:val="28"/>
              </w:rPr>
            </w:pPr>
          </w:p>
          <w:p w14:paraId="0C259EAA">
            <w:pPr>
              <w:pStyle w:val="10"/>
              <w:keepNext w:val="0"/>
              <w:keepLines w:val="0"/>
              <w:pageBreakBefore w:val="0"/>
              <w:widowControl w:val="0"/>
              <w:kinsoku/>
              <w:wordWrap/>
              <w:overflowPunct/>
              <w:topLinePunct w:val="0"/>
              <w:autoSpaceDE w:val="0"/>
              <w:autoSpaceDN w:val="0"/>
              <w:bidi w:val="0"/>
              <w:adjustRightInd/>
              <w:snapToGrid/>
              <w:spacing w:line="560" w:lineRule="exact"/>
              <w:ind w:left="1330" w:right="134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rPr>
              <w:t>合计</w:t>
            </w:r>
          </w:p>
        </w:tc>
        <w:tc>
          <w:tcPr>
            <w:tcW w:w="1426" w:type="dxa"/>
            <w:vAlign w:val="center"/>
          </w:tcPr>
          <w:p w14:paraId="06388C84">
            <w:pPr>
              <w:pStyle w:val="10"/>
              <w:keepNext w:val="0"/>
              <w:keepLines w:val="0"/>
              <w:pageBreakBefore w:val="0"/>
              <w:widowControl w:val="0"/>
              <w:kinsoku/>
              <w:wordWrap/>
              <w:overflowPunct/>
              <w:topLinePunct w:val="0"/>
              <w:autoSpaceDE w:val="0"/>
              <w:autoSpaceDN w:val="0"/>
              <w:bidi w:val="0"/>
              <w:adjustRightInd/>
              <w:snapToGrid/>
              <w:spacing w:before="5" w:line="560" w:lineRule="exact"/>
              <w:jc w:val="center"/>
              <w:textAlignment w:val="auto"/>
              <w:rPr>
                <w:rFonts w:hint="eastAsia" w:ascii="仿宋_GB2312" w:hAnsi="仿宋_GB2312" w:eastAsia="仿宋_GB2312" w:cs="仿宋_GB2312"/>
                <w:sz w:val="28"/>
                <w:szCs w:val="28"/>
              </w:rPr>
            </w:pPr>
          </w:p>
          <w:p w14:paraId="4D308295">
            <w:pPr>
              <w:pStyle w:val="10"/>
              <w:keepNext w:val="0"/>
              <w:keepLines w:val="0"/>
              <w:pageBreakBefore w:val="0"/>
              <w:widowControl w:val="0"/>
              <w:kinsoku/>
              <w:wordWrap/>
              <w:overflowPunct/>
              <w:topLinePunct w:val="0"/>
              <w:autoSpaceDE w:val="0"/>
              <w:autoSpaceDN w:val="0"/>
              <w:bidi w:val="0"/>
              <w:adjustRightInd/>
              <w:snapToGrid/>
              <w:spacing w:line="560" w:lineRule="exact"/>
              <w:ind w:left="39" w:right="8"/>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rPr>
              <w:t>6.5385</w:t>
            </w:r>
          </w:p>
        </w:tc>
        <w:tc>
          <w:tcPr>
            <w:tcW w:w="1845" w:type="dxa"/>
            <w:vAlign w:val="center"/>
          </w:tcPr>
          <w:p w14:paraId="63366556">
            <w:pPr>
              <w:pStyle w:val="10"/>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p w14:paraId="47923272">
            <w:pPr>
              <w:pStyle w:val="10"/>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556" w:type="dxa"/>
            <w:vAlign w:val="center"/>
          </w:tcPr>
          <w:p w14:paraId="6ECE0413">
            <w:pPr>
              <w:pStyle w:val="10"/>
              <w:keepNext w:val="0"/>
              <w:keepLines w:val="0"/>
              <w:pageBreakBefore w:val="0"/>
              <w:widowControl w:val="0"/>
              <w:kinsoku/>
              <w:wordWrap/>
              <w:overflowPunct/>
              <w:topLinePunct w:val="0"/>
              <w:autoSpaceDE w:val="0"/>
              <w:autoSpaceDN w:val="0"/>
              <w:bidi w:val="0"/>
              <w:adjustRightInd/>
              <w:snapToGrid/>
              <w:spacing w:before="5" w:line="560" w:lineRule="exact"/>
              <w:jc w:val="center"/>
              <w:textAlignment w:val="auto"/>
              <w:rPr>
                <w:rFonts w:hint="eastAsia" w:ascii="仿宋_GB2312" w:hAnsi="仿宋_GB2312" w:eastAsia="仿宋_GB2312" w:cs="仿宋_GB2312"/>
                <w:sz w:val="28"/>
                <w:szCs w:val="28"/>
              </w:rPr>
            </w:pPr>
          </w:p>
          <w:p w14:paraId="6962BF43">
            <w:pPr>
              <w:pStyle w:val="10"/>
              <w:keepNext w:val="0"/>
              <w:keepLines w:val="0"/>
              <w:pageBreakBefore w:val="0"/>
              <w:widowControl w:val="0"/>
              <w:kinsoku/>
              <w:wordWrap/>
              <w:overflowPunct/>
              <w:topLinePunct w:val="0"/>
              <w:autoSpaceDE w:val="0"/>
              <w:autoSpaceDN w:val="0"/>
              <w:bidi w:val="0"/>
              <w:adjustRightInd/>
              <w:snapToGrid/>
              <w:spacing w:line="560" w:lineRule="exact"/>
              <w:ind w:left="316" w:right="2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sz w:val="28"/>
                <w:szCs w:val="28"/>
              </w:rPr>
              <w:t>14</w:t>
            </w:r>
          </w:p>
        </w:tc>
      </w:tr>
    </w:tbl>
    <w:p w14:paraId="04836231">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1928" w:right="1361" w:bottom="192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166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E19EF">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5E19EF">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5402E"/>
    <w:rsid w:val="00590847"/>
    <w:rsid w:val="005D7D00"/>
    <w:rsid w:val="00AD1E1F"/>
    <w:rsid w:val="00CC56F6"/>
    <w:rsid w:val="028E33DF"/>
    <w:rsid w:val="033451DB"/>
    <w:rsid w:val="04C62727"/>
    <w:rsid w:val="06144AD1"/>
    <w:rsid w:val="06610049"/>
    <w:rsid w:val="08464AE7"/>
    <w:rsid w:val="08EC2A03"/>
    <w:rsid w:val="093A3CC5"/>
    <w:rsid w:val="0A0B77CB"/>
    <w:rsid w:val="0B9B6E50"/>
    <w:rsid w:val="0C1E49CC"/>
    <w:rsid w:val="0CE91961"/>
    <w:rsid w:val="0D0728B7"/>
    <w:rsid w:val="0E3140D7"/>
    <w:rsid w:val="11965841"/>
    <w:rsid w:val="12341E88"/>
    <w:rsid w:val="13714D70"/>
    <w:rsid w:val="15CE692B"/>
    <w:rsid w:val="18A233DB"/>
    <w:rsid w:val="19E21F71"/>
    <w:rsid w:val="1B6337E0"/>
    <w:rsid w:val="20B67655"/>
    <w:rsid w:val="211F0DDA"/>
    <w:rsid w:val="215E252F"/>
    <w:rsid w:val="2172083E"/>
    <w:rsid w:val="23141564"/>
    <w:rsid w:val="23500C12"/>
    <w:rsid w:val="28702BCD"/>
    <w:rsid w:val="2A015B73"/>
    <w:rsid w:val="2B972895"/>
    <w:rsid w:val="2DAF2E8F"/>
    <w:rsid w:val="2DD500C6"/>
    <w:rsid w:val="35F746F3"/>
    <w:rsid w:val="36EF346B"/>
    <w:rsid w:val="37BF602E"/>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BA21E1A"/>
    <w:rsid w:val="4C363821"/>
    <w:rsid w:val="4DDA7039"/>
    <w:rsid w:val="4F100B46"/>
    <w:rsid w:val="510D0143"/>
    <w:rsid w:val="56293227"/>
    <w:rsid w:val="57B071EF"/>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6FAF97D2"/>
    <w:rsid w:val="6FB73E32"/>
    <w:rsid w:val="72270D40"/>
    <w:rsid w:val="727E6788"/>
    <w:rsid w:val="72C048A2"/>
    <w:rsid w:val="7451241A"/>
    <w:rsid w:val="748706FC"/>
    <w:rsid w:val="79A963F5"/>
    <w:rsid w:val="7A301722"/>
    <w:rsid w:val="7A4A27FD"/>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4"/>
    <w:basedOn w:val="1"/>
    <w:next w:val="1"/>
    <w:qFormat/>
    <w:uiPriority w:val="0"/>
    <w:pPr>
      <w:wordWrap w:val="0"/>
      <w:ind w:left="850"/>
    </w:pPr>
    <w:rPr>
      <w:rFonts w:ascii="Calibri" w:hAnsi="Calibri" w:eastAsia="宋体" w:cs="黑体"/>
      <w:sz w:val="21"/>
      <w:szCs w:val="2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1585</Words>
  <Characters>1670</Characters>
  <Lines>2</Lines>
  <Paragraphs>3</Paragraphs>
  <TotalTime>0</TotalTime>
  <ScaleCrop>false</ScaleCrop>
  <LinksUpToDate>false</LinksUpToDate>
  <CharactersWithSpaces>1706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2021-11-10T22:53:00Z</dcterms:created>
  <dc:creator>小灵通</dc:creator>
  <cp:lastModifiedBy>lin</cp:lastModifiedBy>
  <cp:lastPrinted>2022-01-04T23:55:00Z</cp:lastPrinted>
  <dcterms:modified xsi:type="dcterms:W3CDTF">2026-07-02T02:49:07Z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0C0DE489E8B24C16B5CA190443C1F12E</vt:lpwstr>
  </property>
  <property fmtid="{D5CDD505-2E9C-101B-9397-08002B2CF9AE}" pid="4" name="KSOTemplateDocerSaveRecord">
    <vt:lpwstr>eyJoZGlkIjoiZjA2YjQzMWUyNGYxOGRmODA3MjgyMzgxNTI4MGQ0ZWQiLCJ1c2VySWQiOiIxMzc5MzIwMjY0In0=</vt:lpwstr>
  </property>
</Properties>
</file>