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533F2">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ascii="方正小标宋简体" w:hAnsi="方正小标宋简体" w:eastAsia="方正小标宋简体" w:cs="方正小标宋简体"/>
          <w:sz w:val="44"/>
          <w:szCs w:val="44"/>
        </w:rPr>
        <w:t>广州市花都区2025年度第四十六批次城镇建设用地(广州市花都区杨二村、东边村</w:t>
      </w:r>
    </w:p>
    <w:p w14:paraId="58DEDF71">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城中村改造项目地块四)项目</w:t>
      </w:r>
    </w:p>
    <w:p w14:paraId="460ADB8C">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被征地农民养老保障方案</w:t>
      </w:r>
    </w:p>
    <w:p w14:paraId="534CC637">
      <w:pPr>
        <w:pStyle w:val="2"/>
        <w:ind w:firstLine="640"/>
        <w:jc w:val="center"/>
        <w:rPr>
          <w:rFonts w:ascii="仿宋_GB2312" w:hAnsi="仿宋_GB2312" w:cs="仿宋_GB2312"/>
        </w:rPr>
      </w:pPr>
    </w:p>
    <w:p w14:paraId="11910641">
      <w:pPr>
        <w:pStyle w:val="2"/>
        <w:ind w:firstLine="480"/>
        <w:jc w:val="center"/>
        <w:rPr>
          <w:rFonts w:ascii="仿宋_GB2312" w:hAnsi="仿宋_GB2312" w:cs="仿宋_GB2312"/>
          <w:sz w:val="24"/>
          <w:szCs w:val="24"/>
        </w:rPr>
      </w:pPr>
    </w:p>
    <w:p w14:paraId="743E1AB5">
      <w:pPr>
        <w:ind w:firstLine="640" w:firstLineChars="200"/>
        <w:rPr>
          <w:rFonts w:ascii="仿宋_GB2312" w:hAnsi="仿宋_GB2312" w:cs="仿宋_GB2312"/>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广东省人力资源社会保障厅人社厅关于进一步做好被征地农民社会保障工作完善相关政策的通知》（粤人社规〔2025〕48号）和《广州市人民政府办公厅转发关于进一步完善我省被征地农民养老保障政策意见的通知》（穗府办规〔2022〕3号）等有关规定，拟定</w:t>
      </w:r>
      <w:r>
        <w:rPr>
          <w:rFonts w:hint="eastAsia" w:ascii="仿宋_GB2312" w:hAnsi="仿宋_GB2312" w:cs="仿宋_GB2312"/>
        </w:rPr>
        <w:t>广州市花都区2025年度第四十六批次城镇建设用地(广州市花都区杨二村、东边村城中村改造项目地块四)项目被征地农民养老保障方案如下：</w:t>
      </w:r>
    </w:p>
    <w:p w14:paraId="5378A334">
      <w:pPr>
        <w:ind w:firstLine="640" w:firstLineChars="200"/>
        <w:rPr>
          <w:rFonts w:ascii="仿宋_GB2312" w:hAnsi="仿宋_GB2312" w:cs="仿宋_GB2312"/>
        </w:rPr>
      </w:pPr>
      <w:r>
        <w:rPr>
          <w:rFonts w:hint="eastAsia" w:ascii="仿宋_GB2312" w:hAnsi="仿宋_GB2312" w:cs="仿宋_GB2312"/>
        </w:rPr>
        <w:t>一、对广州市花都区2025年度第四十六批次城镇建设用地(广州市花都区杨二村、东边村城中村改造项目地块四)项目涉及的被征地农民实施社会养老保障。</w:t>
      </w:r>
    </w:p>
    <w:p w14:paraId="71A56A87">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w:t>
      </w:r>
      <w:r>
        <w:rPr>
          <w:rFonts w:hint="eastAsia" w:ascii="仿宋_GB2312" w:hAnsi="仿宋_GB2312" w:cs="仿宋_GB2312"/>
          <w:color w:val="auto"/>
        </w:rPr>
        <w:t>提供情况，</w:t>
      </w:r>
      <w:r>
        <w:rPr>
          <w:rFonts w:hint="eastAsia" w:ascii="仿宋_GB2312" w:hAnsi="仿宋_GB2312" w:cs="仿宋_GB2312"/>
          <w:color w:val="auto"/>
          <w:kern w:val="0"/>
          <w:shd w:val="clear" w:color="auto" w:fill="FFFFFF"/>
          <w:lang w:bidi="ar"/>
        </w:rPr>
        <w:t>该项目征收</w:t>
      </w:r>
      <w:r>
        <w:rPr>
          <w:rFonts w:hint="eastAsia" w:ascii="仿宋_GB2312"/>
          <w:color w:val="auto"/>
        </w:rPr>
        <w:t>我区花城街杨二村、东边村</w:t>
      </w:r>
      <w:r>
        <w:rPr>
          <w:rFonts w:hint="eastAsia" w:ascii="仿宋_GB2312" w:hAnsi="仿宋_GB2312" w:cs="仿宋_GB2312"/>
          <w:color w:val="auto"/>
          <w:kern w:val="0"/>
          <w:shd w:val="clear" w:color="auto" w:fill="FFFFFF"/>
          <w:lang w:bidi="ar"/>
        </w:rPr>
        <w:t>土地面积共384.5895亩，</w:t>
      </w:r>
      <w:r>
        <w:rPr>
          <w:rFonts w:hint="eastAsia" w:ascii="仿宋_GB2312" w:hAnsi="仿宋_GB2312" w:cs="仿宋_GB2312"/>
          <w:color w:val="auto"/>
        </w:rPr>
        <w:t>其中0亩属于农村集体经济组织留用地，征地双方于2025年6月全部完成征地补偿安置协议签订。该项目征地社保费应按2.14万元/亩的标准计提（即征地补偿安置方案制定时，我区每亩平均征收农用地综合区片地价13.33万元/亩的16%），其中0亩属于农村集体经济组织留用地，按规定不计提征地社保费，需计提费用共823.05万元由征地主体（用地单位）一次性预存入我区人力资源社会保障部门开设</w:t>
      </w:r>
      <w:r>
        <w:rPr>
          <w:rFonts w:hint="eastAsia" w:ascii="仿宋_GB2312" w:hAnsi="仿宋_GB2312" w:cs="仿宋_GB2312"/>
        </w:rPr>
        <w:t>的“收缴被征地农民养老保障资金过渡户”，单列计提并计入征地成本，纳入工程项目概算。</w:t>
      </w:r>
    </w:p>
    <w:p w14:paraId="64B3D57B">
      <w:pPr>
        <w:ind w:firstLine="640" w:firstLineChars="200"/>
        <w:rPr>
          <w:rFonts w:ascii="仿宋_GB2312" w:hAnsi="仿宋_GB2312" w:eastAsia="黑体"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bidi="ar"/>
        </w:rPr>
        <w:t xml:space="preserve"> </w:t>
      </w:r>
      <w:r>
        <w:rPr>
          <w:rFonts w:hint="eastAsia" w:ascii="仿宋_GB2312" w:hAnsi="仿宋_GB2312" w:eastAsia="黑体" w:cs="仿宋_GB2312"/>
        </w:rPr>
        <w:t xml:space="preserve">   </w:t>
      </w:r>
    </w:p>
    <w:p w14:paraId="46172111">
      <w:pPr>
        <w:spacing w:line="560" w:lineRule="exact"/>
        <w:ind w:firstLine="640" w:firstLineChars="200"/>
        <w:rPr>
          <w:rFonts w:ascii="仿宋_GB2312" w:hAnsi="仿宋_GB2312" w:cs="仿宋_GB2312"/>
        </w:rPr>
      </w:pPr>
      <w:r>
        <w:rPr>
          <w:rFonts w:hint="eastAsia" w:ascii="仿宋_GB2312" w:hAnsi="仿宋_GB2312" w:cs="仿宋_GB2312"/>
        </w:rPr>
        <w:t>四、征地社保费分配。</w:t>
      </w:r>
    </w:p>
    <w:p w14:paraId="09F6168B">
      <w:pPr>
        <w:spacing w:line="560" w:lineRule="exact"/>
        <w:ind w:firstLine="640" w:firstLineChars="200"/>
        <w:rPr>
          <w:rFonts w:ascii="仿宋_GB2312" w:hAnsi="仿宋_GB2312" w:cs="仿宋_GB2312"/>
        </w:rPr>
      </w:pPr>
      <w:r>
        <w:rPr>
          <w:rFonts w:hint="eastAsia" w:ascii="仿宋_GB2312" w:hAnsi="仿宋_GB2312" w:cs="仿宋_GB2312"/>
          <w:bCs/>
        </w:rPr>
        <w:t>（一）</w:t>
      </w:r>
      <w:r>
        <w:rPr>
          <w:rFonts w:ascii="仿宋_GB2312" w:hAnsi="仿宋_GB2312" w:cs="仿宋_GB2312"/>
          <w:bCs/>
        </w:rPr>
        <w:t>征地社保费</w:t>
      </w:r>
      <w:r>
        <w:rPr>
          <w:rFonts w:hint="eastAsia" w:ascii="仿宋_GB2312" w:hAnsi="仿宋_GB2312" w:cs="仿宋_GB2312"/>
          <w:bCs/>
        </w:rPr>
        <w:t>专款用于被征地农民的基本养老保险缴费补贴。</w:t>
      </w:r>
    </w:p>
    <w:p w14:paraId="66A192F4">
      <w:pPr>
        <w:spacing w:line="560" w:lineRule="exact"/>
        <w:ind w:firstLine="640" w:firstLineChars="200"/>
        <w:rPr>
          <w:rFonts w:ascii="仿宋_GB2312" w:hAnsi="仿宋_GB2312" w:cs="仿宋_GB2312"/>
          <w:bCs/>
        </w:rPr>
      </w:pPr>
      <w:r>
        <w:rPr>
          <w:rFonts w:hint="eastAsia" w:ascii="仿宋_GB2312" w:hAnsi="仿宋_GB2312" w:cs="仿宋_GB2312"/>
          <w:bCs/>
        </w:rPr>
        <w:t>1、被征地农民参加城乡居民基本养老保险的，征地社保费按规定划入社会保障基金财政专户后计入本人个人账户，合并形成新的个人账户储存额，按规定计息。</w:t>
      </w:r>
    </w:p>
    <w:p w14:paraId="7E3A6A2C">
      <w:pPr>
        <w:spacing w:line="560" w:lineRule="exact"/>
        <w:ind w:firstLine="640" w:firstLineChars="200"/>
        <w:rPr>
          <w:rFonts w:ascii="仿宋_GB2312" w:hAnsi="仿宋_GB2312" w:cs="仿宋_GB2312"/>
          <w:bCs/>
        </w:rPr>
      </w:pPr>
      <w:r>
        <w:rPr>
          <w:rFonts w:hint="eastAsia" w:ascii="仿宋_GB2312" w:hAnsi="仿宋_GB2312" w:cs="仿宋_GB2312"/>
          <w:bCs/>
        </w:rPr>
        <w:t>2、被征地农民已经领取城乡居民基本养老金的，将征地社保费一次性划入其个人账户，重核个人账户养老金，从次月起按新标准发放。</w:t>
      </w:r>
    </w:p>
    <w:p w14:paraId="498A8A09">
      <w:pPr>
        <w:spacing w:line="560" w:lineRule="exact"/>
        <w:ind w:firstLine="640" w:firstLineChars="200"/>
        <w:rPr>
          <w:rFonts w:ascii="仿宋_GB2312" w:hAnsi="仿宋_GB2312" w:cs="仿宋_GB2312"/>
          <w:bCs/>
        </w:rPr>
      </w:pPr>
      <w:r>
        <w:rPr>
          <w:rFonts w:hint="eastAsia" w:ascii="仿宋_GB2312" w:hAnsi="仿宋_GB2312" w:cs="仿宋_GB2312"/>
          <w:bCs/>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2744101A">
      <w:pPr>
        <w:spacing w:line="560" w:lineRule="exact"/>
        <w:ind w:firstLine="640" w:firstLineChars="200"/>
        <w:rPr>
          <w:rFonts w:ascii="仿宋_GB2312" w:hAnsi="仿宋_GB2312" w:cs="仿宋_GB2312"/>
          <w:bCs/>
        </w:rPr>
      </w:pPr>
      <w:r>
        <w:rPr>
          <w:rFonts w:hint="eastAsia" w:ascii="仿宋_GB2312" w:hAnsi="仿宋_GB2312" w:cs="仿宋_GB2312"/>
          <w:bCs/>
        </w:rPr>
        <w:t>4、被征地农民已经领取城镇职工基本养老金的，将征地社保费一次性支付本人。</w:t>
      </w:r>
    </w:p>
    <w:p w14:paraId="0EEAD6DD">
      <w:pPr>
        <w:spacing w:line="560" w:lineRule="exact"/>
        <w:ind w:firstLine="640" w:firstLineChars="200"/>
        <w:rPr>
          <w:rFonts w:ascii="仿宋_GB2312" w:hAnsi="仿宋_GB2312" w:cs="仿宋_GB2312"/>
        </w:rPr>
      </w:pPr>
      <w:r>
        <w:rPr>
          <w:rFonts w:hint="eastAsia" w:ascii="仿宋_GB2312" w:hAnsi="仿宋_GB2312" w:cs="仿宋_GB2312"/>
        </w:rPr>
        <w:t>（二）落实“</w:t>
      </w:r>
      <w:r>
        <w:rPr>
          <w:rFonts w:ascii="仿宋_GB2312" w:hAnsi="仿宋_GB2312" w:cs="仿宋_GB2312"/>
        </w:rPr>
        <w:t>征地社保费与征地</w:t>
      </w:r>
      <w:r>
        <w:rPr>
          <w:rFonts w:ascii="仿宋_GB2312" w:hAnsi="仿宋_GB2312" w:cs="仿宋_GB2312"/>
          <w:bCs/>
        </w:rPr>
        <w:t>安置补偿费同期拨付</w:t>
      </w:r>
      <w:r>
        <w:rPr>
          <w:rFonts w:hint="eastAsia" w:ascii="仿宋_GB2312" w:hAnsi="仿宋_GB2312" w:cs="仿宋_GB2312"/>
          <w:bCs/>
        </w:rPr>
        <w:t>”和“在项目获批后3个月内完成资金分配工作，落实参保到人”的有关规定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14:paraId="2B798406">
      <w:pPr>
        <w:pStyle w:val="2"/>
        <w:ind w:firstLine="0" w:firstLineChars="0"/>
      </w:pPr>
    </w:p>
    <w:p w14:paraId="2A870541">
      <w:pPr>
        <w:spacing w:line="560" w:lineRule="exact"/>
        <w:ind w:firstLine="640" w:firstLineChars="200"/>
        <w:rPr>
          <w:rFonts w:ascii="仿宋_GB2312" w:hAnsi="仿宋_GB2312" w:cs="仿宋_GB2312"/>
        </w:rPr>
      </w:pPr>
      <w:r>
        <w:rPr>
          <w:rFonts w:hint="eastAsia" w:ascii="仿宋_GB2312" w:hAnsi="仿宋_GB2312" w:cs="仿宋_GB2312"/>
        </w:rPr>
        <w:t>附件：征地土地和养老保障情况表</w:t>
      </w:r>
    </w:p>
    <w:p w14:paraId="12FBE3BA">
      <w:pPr>
        <w:ind w:firstLine="640" w:firstLineChars="200"/>
        <w:rPr>
          <w:rFonts w:ascii="仿宋_GB2312" w:hAnsi="仿宋_GB2312" w:cs="仿宋_GB2312"/>
        </w:rPr>
      </w:pPr>
      <w:r>
        <w:rPr>
          <w:rFonts w:hint="eastAsia" w:ascii="仿宋_GB2312" w:hAnsi="仿宋_GB2312" w:cs="仿宋_GB2312"/>
        </w:rPr>
        <w:t xml:space="preserve">  </w:t>
      </w:r>
    </w:p>
    <w:p w14:paraId="4D99C18F">
      <w:pPr>
        <w:pStyle w:val="2"/>
        <w:ind w:firstLine="640"/>
      </w:pPr>
    </w:p>
    <w:p w14:paraId="45146F1B">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14:paraId="19C29573">
      <w:pPr>
        <w:rPr>
          <w:rFonts w:ascii="仿宋_GB2312" w:hAnsi="仿宋_GB2312" w:cs="仿宋_GB2312"/>
          <w:color w:val="auto"/>
          <w:kern w:val="0"/>
          <w:shd w:val="clear" w:color="auto" w:fill="FFFFFF"/>
          <w:lang w:bidi="ar"/>
        </w:rPr>
      </w:pPr>
      <w:r>
        <w:rPr>
          <w:rFonts w:hint="eastAsia" w:ascii="仿宋_GB2312" w:hAnsi="仿宋_GB2312" w:cs="仿宋_GB2312"/>
        </w:rPr>
        <w:t xml:space="preserve">                             </w:t>
      </w:r>
      <w:r>
        <w:rPr>
          <w:rFonts w:hint="eastAsia" w:ascii="仿宋_GB2312" w:hAnsi="仿宋_GB2312" w:cs="仿宋_GB2312"/>
          <w:color w:val="FF0000"/>
        </w:rPr>
        <w:t xml:space="preserve"> </w:t>
      </w:r>
      <w:r>
        <w:rPr>
          <w:rFonts w:hint="eastAsia" w:ascii="仿宋_GB2312" w:hAnsi="仿宋_GB2312" w:cs="仿宋_GB2312"/>
          <w:color w:val="auto"/>
        </w:rPr>
        <w:t>2026年5月</w:t>
      </w:r>
      <w:r>
        <w:rPr>
          <w:rFonts w:hint="eastAsia" w:ascii="仿宋_GB2312" w:hAnsi="仿宋_GB2312" w:cs="仿宋_GB2312"/>
          <w:color w:val="auto"/>
          <w:kern w:val="0"/>
          <w:shd w:val="clear" w:color="auto" w:fill="FFFFFF"/>
          <w:lang w:bidi="ar"/>
        </w:rPr>
        <w:t>15日</w:t>
      </w:r>
    </w:p>
    <w:p w14:paraId="78FFD053">
      <w:pPr>
        <w:rPr>
          <w:rFonts w:ascii="黑体" w:hAnsi="黑体" w:eastAsia="黑体" w:cs="黑体"/>
        </w:rPr>
      </w:pPr>
      <w:r>
        <w:rPr>
          <w:rFonts w:hint="eastAsia" w:ascii="黑体" w:hAnsi="黑体" w:eastAsia="黑体" w:cs="黑体"/>
        </w:rPr>
        <w:t>附件</w:t>
      </w:r>
    </w:p>
    <w:p w14:paraId="2895382C">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DC75007">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2"/>
        <w:gridCol w:w="2520"/>
        <w:gridCol w:w="1950"/>
        <w:gridCol w:w="1785"/>
        <w:gridCol w:w="1349"/>
      </w:tblGrid>
      <w:tr w14:paraId="42EB49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22" w:type="dxa"/>
            <w:gridSpan w:val="2"/>
            <w:tcBorders>
              <w:top w:val="single" w:color="auto" w:sz="4" w:space="0"/>
              <w:bottom w:val="single" w:color="auto" w:sz="4" w:space="0"/>
              <w:right w:val="single" w:color="auto" w:sz="4" w:space="0"/>
            </w:tcBorders>
            <w:vAlign w:val="center"/>
          </w:tcPr>
          <w:p w14:paraId="38F13A92">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50" w:type="dxa"/>
            <w:tcBorders>
              <w:top w:val="single" w:color="auto" w:sz="4" w:space="0"/>
              <w:left w:val="single" w:color="auto" w:sz="4" w:space="0"/>
              <w:bottom w:val="single" w:color="auto" w:sz="4" w:space="0"/>
              <w:right w:val="single" w:color="auto" w:sz="4" w:space="0"/>
            </w:tcBorders>
            <w:vAlign w:val="center"/>
          </w:tcPr>
          <w:p w14:paraId="47267988">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304B9F">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349" w:type="dxa"/>
            <w:tcBorders>
              <w:top w:val="single" w:color="auto" w:sz="4" w:space="0"/>
              <w:left w:val="single" w:color="auto" w:sz="4" w:space="0"/>
              <w:bottom w:val="single" w:color="auto" w:sz="4" w:space="0"/>
              <w:right w:val="single" w:color="auto" w:sz="4" w:space="0"/>
            </w:tcBorders>
            <w:vAlign w:val="center"/>
          </w:tcPr>
          <w:p w14:paraId="546C79E2">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14:paraId="279CA9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restart"/>
            <w:tcBorders>
              <w:top w:val="single" w:color="auto" w:sz="4" w:space="0"/>
              <w:right w:val="single" w:color="auto" w:sz="4" w:space="0"/>
            </w:tcBorders>
            <w:vAlign w:val="center"/>
          </w:tcPr>
          <w:p w14:paraId="3CBDFBF9">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花城街</w:t>
            </w: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9778F3">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杨二村经济联合社</w:t>
            </w:r>
          </w:p>
        </w:tc>
        <w:tc>
          <w:tcPr>
            <w:tcW w:w="1950" w:type="dxa"/>
            <w:tcBorders>
              <w:top w:val="single" w:color="auto" w:sz="4" w:space="0"/>
              <w:left w:val="single" w:color="auto" w:sz="4" w:space="0"/>
              <w:bottom w:val="single" w:color="auto" w:sz="4" w:space="0"/>
              <w:right w:val="single" w:color="auto" w:sz="4" w:space="0"/>
            </w:tcBorders>
            <w:vAlign w:val="center"/>
          </w:tcPr>
          <w:p w14:paraId="12CBBBC5">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15.5325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DB2360">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05E6DB56">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33.24</w:t>
            </w:r>
          </w:p>
        </w:tc>
      </w:tr>
      <w:tr w14:paraId="31979A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01FA6A7E">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5B12BE">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杨二村榕树经济合作社</w:t>
            </w:r>
          </w:p>
        </w:tc>
        <w:tc>
          <w:tcPr>
            <w:tcW w:w="1950" w:type="dxa"/>
            <w:tcBorders>
              <w:top w:val="single" w:color="auto" w:sz="4" w:space="0"/>
              <w:left w:val="single" w:color="auto" w:sz="4" w:space="0"/>
              <w:bottom w:val="single" w:color="auto" w:sz="4" w:space="0"/>
              <w:right w:val="single" w:color="auto" w:sz="4" w:space="0"/>
            </w:tcBorders>
            <w:vAlign w:val="center"/>
          </w:tcPr>
          <w:p w14:paraId="4C0F8149">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14.481</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D0FF28">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0BBC1CA7">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30.99</w:t>
            </w:r>
          </w:p>
        </w:tc>
      </w:tr>
      <w:tr w14:paraId="787925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08A0F7E5">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39B8D7">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杨二村旗星经济合作社</w:t>
            </w:r>
          </w:p>
        </w:tc>
        <w:tc>
          <w:tcPr>
            <w:tcW w:w="1950" w:type="dxa"/>
            <w:tcBorders>
              <w:top w:val="single" w:color="auto" w:sz="4" w:space="0"/>
              <w:left w:val="single" w:color="auto" w:sz="4" w:space="0"/>
              <w:bottom w:val="single" w:color="auto" w:sz="4" w:space="0"/>
              <w:right w:val="single" w:color="auto" w:sz="4" w:space="0"/>
            </w:tcBorders>
            <w:vAlign w:val="center"/>
          </w:tcPr>
          <w:p w14:paraId="3435C759">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222.975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688A1C">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094814CD">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477.17</w:t>
            </w:r>
          </w:p>
        </w:tc>
      </w:tr>
      <w:tr w14:paraId="651758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6F79671D">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5EAD44">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杨二村上头经济合作社、泗合经济合作社（共有）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14:paraId="55F1F221">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3.5985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EFA63A">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5961E861">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7.71</w:t>
            </w:r>
          </w:p>
        </w:tc>
      </w:tr>
      <w:tr w14:paraId="278944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45EF48BB">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63F931">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杨二村存心经济合作社、泗合经济合作社、祥凤经济合作社、榕树经济合作社、草弄经济合作社（共有）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14:paraId="1E385027">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6.495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E6AC50">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7F729111">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13.9</w:t>
            </w:r>
          </w:p>
        </w:tc>
      </w:tr>
      <w:tr w14:paraId="64FE35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7A602461">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44195C">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杨二村上头经济合作社、存心经济合作社、旗星经济合作社、泗合经济合作社、榕树经济合作社（共有）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14:paraId="2C48F37E">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0.12</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AFDA27">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5EBF06B9">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0.26</w:t>
            </w:r>
          </w:p>
        </w:tc>
      </w:tr>
      <w:tr w14:paraId="15B8A2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0CCB80E1">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2FDDAE">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东边村上元经济合作社</w:t>
            </w:r>
          </w:p>
        </w:tc>
        <w:tc>
          <w:tcPr>
            <w:tcW w:w="1950" w:type="dxa"/>
            <w:tcBorders>
              <w:top w:val="single" w:color="auto" w:sz="4" w:space="0"/>
              <w:left w:val="single" w:color="auto" w:sz="4" w:space="0"/>
              <w:bottom w:val="single" w:color="auto" w:sz="4" w:space="0"/>
              <w:right w:val="single" w:color="auto" w:sz="4" w:space="0"/>
            </w:tcBorders>
            <w:vAlign w:val="center"/>
          </w:tcPr>
          <w:p w14:paraId="2E6928DE">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0.4995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562249">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663B2180">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1.07</w:t>
            </w:r>
          </w:p>
        </w:tc>
      </w:tr>
      <w:tr w14:paraId="2B009C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70ACBDFF">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42E9FF">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东边村南一经济合作社</w:t>
            </w:r>
          </w:p>
        </w:tc>
        <w:tc>
          <w:tcPr>
            <w:tcW w:w="1950" w:type="dxa"/>
            <w:tcBorders>
              <w:top w:val="single" w:color="auto" w:sz="4" w:space="0"/>
              <w:left w:val="single" w:color="auto" w:sz="4" w:space="0"/>
              <w:bottom w:val="single" w:color="auto" w:sz="4" w:space="0"/>
              <w:right w:val="single" w:color="auto" w:sz="4" w:space="0"/>
            </w:tcBorders>
            <w:vAlign w:val="center"/>
          </w:tcPr>
          <w:p w14:paraId="1012BD8E">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99.336</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E67E9A">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7B1F9E57">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212.58</w:t>
            </w:r>
          </w:p>
        </w:tc>
      </w:tr>
      <w:tr w14:paraId="1D2645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2" w:type="dxa"/>
            <w:vMerge w:val="continue"/>
            <w:tcBorders>
              <w:right w:val="single" w:color="auto" w:sz="4" w:space="0"/>
            </w:tcBorders>
            <w:vAlign w:val="center"/>
          </w:tcPr>
          <w:p w14:paraId="74C7126B">
            <w:pPr>
              <w:jc w:val="center"/>
              <w:rPr>
                <w:rFonts w:ascii="仿宋" w:hAnsi="仿宋" w:eastAsia="仿宋" w:cs="仿宋"/>
                <w:kern w:val="0"/>
                <w:sz w:val="24"/>
                <w:szCs w:val="24"/>
              </w:rPr>
            </w:pPr>
          </w:p>
        </w:tc>
        <w:tc>
          <w:tcPr>
            <w:tcW w:w="25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99178A">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东边村上元经济合作社、松元经济合作社、西成经济合作社、南一经济合作社、经济联合社、昌二经济合作社、昌一经济合作社、东成经济合作社、南二经济合作社、溶和经济合作社、溶华经济合作社、三龙经济合作社（共有）</w:t>
            </w:r>
          </w:p>
        </w:tc>
        <w:tc>
          <w:tcPr>
            <w:tcW w:w="1950" w:type="dxa"/>
            <w:tcBorders>
              <w:top w:val="single" w:color="auto" w:sz="4" w:space="0"/>
              <w:left w:val="single" w:color="auto" w:sz="4" w:space="0"/>
              <w:bottom w:val="single" w:color="auto" w:sz="4" w:space="0"/>
              <w:right w:val="single" w:color="auto" w:sz="4" w:space="0"/>
            </w:tcBorders>
            <w:vAlign w:val="center"/>
          </w:tcPr>
          <w:p w14:paraId="5A1B3906">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21.552</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88D52B">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5F1347D7">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46.13</w:t>
            </w:r>
          </w:p>
        </w:tc>
      </w:tr>
      <w:tr w14:paraId="4CD696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22" w:type="dxa"/>
            <w:gridSpan w:val="2"/>
            <w:tcBorders>
              <w:top w:val="single" w:color="auto" w:sz="4" w:space="0"/>
              <w:bottom w:val="single" w:color="auto" w:sz="4" w:space="0"/>
              <w:right w:val="single" w:color="auto" w:sz="4" w:space="0"/>
            </w:tcBorders>
            <w:vAlign w:val="center"/>
          </w:tcPr>
          <w:p w14:paraId="03A1E720">
            <w:pPr>
              <w:widowControl/>
              <w:spacing w:line="300" w:lineRule="exact"/>
              <w:ind w:left="-38" w:leftChars="-12"/>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1950" w:type="dxa"/>
            <w:tcBorders>
              <w:top w:val="single" w:color="auto" w:sz="4" w:space="0"/>
              <w:left w:val="single" w:color="auto" w:sz="4" w:space="0"/>
              <w:bottom w:val="single" w:color="auto" w:sz="4" w:space="0"/>
              <w:right w:val="single" w:color="auto" w:sz="4" w:space="0"/>
            </w:tcBorders>
            <w:vAlign w:val="center"/>
          </w:tcPr>
          <w:p w14:paraId="2D4641C3">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384.5895</w:t>
            </w:r>
          </w:p>
        </w:tc>
        <w:tc>
          <w:tcPr>
            <w:tcW w:w="17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547352">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0</w:t>
            </w:r>
          </w:p>
        </w:tc>
        <w:tc>
          <w:tcPr>
            <w:tcW w:w="1349" w:type="dxa"/>
            <w:tcBorders>
              <w:top w:val="single" w:color="auto" w:sz="4" w:space="0"/>
              <w:left w:val="single" w:color="auto" w:sz="4" w:space="0"/>
              <w:bottom w:val="single" w:color="auto" w:sz="4" w:space="0"/>
              <w:right w:val="single" w:color="auto" w:sz="4" w:space="0"/>
            </w:tcBorders>
            <w:vAlign w:val="center"/>
          </w:tcPr>
          <w:p w14:paraId="41218802">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lang w:bidi="ar"/>
              </w:rPr>
              <w:t>823.05</w:t>
            </w:r>
          </w:p>
        </w:tc>
      </w:tr>
    </w:tbl>
    <w:p w14:paraId="4CF9EEF9">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14:paraId="01698DA6">
      <w:pPr>
        <w:pStyle w:val="2"/>
        <w:ind w:firstLine="0" w:firstLineChars="0"/>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F3D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20FB">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7320FB">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4A4928"/>
    <w:rsid w:val="00A7421A"/>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1FF92743"/>
    <w:rsid w:val="20B67655"/>
    <w:rsid w:val="211F0DDA"/>
    <w:rsid w:val="215E252F"/>
    <w:rsid w:val="23141564"/>
    <w:rsid w:val="27FE4023"/>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7B01DDF"/>
    <w:rsid w:val="4A8B480A"/>
    <w:rsid w:val="4C363821"/>
    <w:rsid w:val="56293227"/>
    <w:rsid w:val="57B071EF"/>
    <w:rsid w:val="595E5E5B"/>
    <w:rsid w:val="5A666CB6"/>
    <w:rsid w:val="5D7072F6"/>
    <w:rsid w:val="5D722B54"/>
    <w:rsid w:val="5DA735D5"/>
    <w:rsid w:val="5E5D0F26"/>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1801</Words>
  <Characters>1957</Characters>
  <Lines>14</Lines>
  <Paragraphs>4</Paragraphs>
  <TotalTime>5</TotalTime>
  <ScaleCrop>false</ScaleCrop>
  <LinksUpToDate>false</LinksUpToDate>
  <CharactersWithSpaces>1993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lin</cp:lastModifiedBy>
  <cp:lastPrinted>2022-01-04T07:55:00Z</cp:lastPrinted>
  <dcterms:modified xsi:type="dcterms:W3CDTF">2026-07-06T02:44:37Z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0D03540FD5374CDEB352106EC9D12D78_13</vt:lpwstr>
  </property>
  <property fmtid="{D5CDD505-2E9C-101B-9397-08002B2CF9AE}" pid="4" name="KSOTemplateDocerSaveRecord">
    <vt:lpwstr>eyJoZGlkIjoiZjA2YjQzMWUyNGYxOGRmODA3MjgyMzgxNTI4MGQ0ZWQiLCJ1c2VySWQiOiIxMzc5MzIwMjY0In0=</vt:lpwstr>
  </property>
</Properties>
</file>