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165</w:t>
      </w:r>
      <w:r>
        <w:rPr>
          <w:rFonts w:hint="default" w:ascii="Times New Roman" w:hAnsi="Times New Roman" w:eastAsia="仿宋_GB2312" w:cs="Times New Roman"/>
          <w:sz w:val="32"/>
          <w:szCs w:val="32"/>
          <w:highlight w:val="none"/>
          <w:lang w:val="en-US" w:eastAsia="zh-CN"/>
        </w:rPr>
        <w:t>号</w:t>
      </w:r>
    </w:p>
    <w:p>
      <w:pPr>
        <w:spacing w:line="560" w:lineRule="exact"/>
        <w:jc w:val="center"/>
        <w:rPr>
          <w:rFonts w:hint="eastAsia" w:ascii="方正小标宋_GBK" w:hAnsi="方正小标宋_GBK" w:eastAsia="方正小标宋_GBK" w:cs="方正小标宋_GBK"/>
          <w:bCs/>
          <w:color w:val="auto"/>
          <w:sz w:val="44"/>
          <w:szCs w:val="44"/>
        </w:rPr>
      </w:pP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w:t>
      </w:r>
      <w:r>
        <w:rPr>
          <w:rFonts w:hint="eastAsia" w:ascii="方正小标宋_GBK" w:hAnsi="方正小标宋_GBK" w:eastAsia="方正小标宋_GBK" w:cs="方正小标宋_GBK"/>
          <w:bCs/>
          <w:color w:val="auto"/>
          <w:sz w:val="44"/>
          <w:szCs w:val="44"/>
          <w:lang w:val="en-US" w:eastAsia="zh-CN"/>
        </w:rPr>
        <w:t>24</w:t>
      </w:r>
      <w:r>
        <w:rPr>
          <w:rFonts w:hint="eastAsia" w:ascii="方正小标宋_GBK" w:hAnsi="方正小标宋_GBK" w:eastAsia="方正小标宋_GBK" w:cs="方正小标宋_GBK"/>
          <w:bCs/>
          <w:color w:val="auto"/>
          <w:sz w:val="44"/>
          <w:szCs w:val="44"/>
        </w:rPr>
        <w:t>年度</w:t>
      </w:r>
    </w:p>
    <w:p>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val="en-US" w:eastAsia="zh-CN"/>
        </w:rPr>
        <w:t>五十四</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你市关于申请广州市花都区2024年度第五十四批次城镇建设用地土地征收的请示收悉，现批复如下：</w:t>
      </w:r>
    </w:p>
    <w:p>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11.0656</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公顷城镇建设用地，即同意你市将花都区花城街石岗村经济联合社、石岗村上升一经济合作社、上升二经济合作社、上升五经济合作社、石岗村上升三四经济合作社</w:t>
      </w:r>
      <w:r>
        <w:rPr>
          <w:rFonts w:hint="eastAsia" w:eastAsia="仿宋_GB2312" w:cs="Times New Roman"/>
          <w:color w:val="auto"/>
          <w:kern w:val="2"/>
          <w:sz w:val="32"/>
          <w:szCs w:val="32"/>
          <w:highlight w:val="none"/>
          <w:u w:val="none"/>
          <w:lang w:val="en-US" w:eastAsia="zh-CN" w:bidi="ar-SA"/>
        </w:rPr>
        <w:t>属下的集体农用地8.8145公顷（其中耕地0.0191公顷）、未利用地0.1433公顷转为建设用地，同时使用上述有关村集体建设用地2.1078公顷，以上合计</w:t>
      </w:r>
      <w:bookmarkStart w:id="0" w:name="OLE_LINK2"/>
      <w:r>
        <w:rPr>
          <w:rFonts w:hint="eastAsia" w:eastAsia="仿宋_GB2312" w:cs="Times New Roman"/>
          <w:color w:val="auto"/>
          <w:kern w:val="2"/>
          <w:sz w:val="32"/>
          <w:szCs w:val="32"/>
          <w:highlight w:val="none"/>
          <w:u w:val="none"/>
          <w:lang w:val="en-US" w:eastAsia="zh-CN" w:bidi="ar-SA"/>
        </w:rPr>
        <w:t>11.0656</w:t>
      </w:r>
      <w:bookmarkEnd w:id="0"/>
      <w:r>
        <w:rPr>
          <w:rFonts w:hint="eastAsia" w:eastAsia="仿宋_GB2312" w:cs="Times New Roman"/>
          <w:color w:val="auto"/>
          <w:kern w:val="2"/>
          <w:sz w:val="32"/>
          <w:szCs w:val="32"/>
          <w:highlight w:val="none"/>
          <w:u w:val="none"/>
          <w:lang w:val="en-US" w:eastAsia="zh-CN" w:bidi="ar-SA"/>
        </w:rPr>
        <w:t>公顷集体土地一并办理征地手续，上述批准建设用地11.0656公顷由当地人民政府依法依规供应。</w:t>
      </w:r>
    </w:p>
    <w:p>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请你市人民政府负责落实补充耕地。督促补充耕地责任单位认真落实耕地占补平衡，补充数量相等、质量相当的耕地，对应核销耕地数量、水田规模（确认信息编号：440114202606020030）。</w:t>
      </w:r>
    </w:p>
    <w:p>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使用土地涉及的耕地占用税等有关税费请按规定办理。</w:t>
      </w: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highlight w:val="none"/>
          <w:u w:val="none"/>
        </w:rPr>
        <w:t>批后实施情况</w:t>
      </w:r>
      <w:bookmarkStart w:id="1" w:name="_GoBack"/>
      <w:bookmarkEnd w:id="1"/>
      <w:r>
        <w:rPr>
          <w:rFonts w:hint="eastAsia" w:ascii="仿宋_GB2312" w:hAnsi="仿宋_GB2312" w:eastAsia="仿宋_GB2312" w:cs="仿宋_GB2312"/>
          <w:color w:val="auto"/>
          <w:sz w:val="32"/>
          <w:szCs w:val="32"/>
          <w:highlight w:val="none"/>
          <w:u w:val="none"/>
        </w:rPr>
        <w:t>和</w:t>
      </w:r>
      <w:r>
        <w:rPr>
          <w:rFonts w:hint="eastAsia" w:ascii="仿宋_GB2312" w:hAnsi="仿宋_GB2312" w:eastAsia="仿宋_GB2312" w:cs="仿宋_GB2312"/>
          <w:color w:val="auto"/>
          <w:sz w:val="32"/>
          <w:szCs w:val="32"/>
          <w:highlight w:val="none"/>
        </w:rPr>
        <w:t>具体项目供地情况须按规定报备。</w:t>
      </w: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29</w:t>
      </w:r>
      <w:r>
        <w:rPr>
          <w:rFonts w:hint="eastAsia" w:ascii="仿宋_GB2312" w:hAnsi="仿宋_GB2312" w:eastAsia="仿宋_GB2312" w:cs="仿宋_GB2312"/>
          <w:color w:val="auto"/>
          <w:sz w:val="32"/>
          <w:szCs w:val="32"/>
        </w:rPr>
        <w:t>日</w:t>
      </w: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55C27B5"/>
    <w:rsid w:val="064C4830"/>
    <w:rsid w:val="0C9920D9"/>
    <w:rsid w:val="0F7B02F4"/>
    <w:rsid w:val="109F6DD2"/>
    <w:rsid w:val="13236B26"/>
    <w:rsid w:val="15EA2560"/>
    <w:rsid w:val="18634B27"/>
    <w:rsid w:val="19C133A5"/>
    <w:rsid w:val="26AD3E24"/>
    <w:rsid w:val="2E6F1820"/>
    <w:rsid w:val="32043682"/>
    <w:rsid w:val="33935FAE"/>
    <w:rsid w:val="3BBA7AA0"/>
    <w:rsid w:val="3E8770EB"/>
    <w:rsid w:val="3ED535A9"/>
    <w:rsid w:val="407B1783"/>
    <w:rsid w:val="429C3C8E"/>
    <w:rsid w:val="44481963"/>
    <w:rsid w:val="483A73C5"/>
    <w:rsid w:val="4C9C00C8"/>
    <w:rsid w:val="4F3A3A5E"/>
    <w:rsid w:val="4F5579DC"/>
    <w:rsid w:val="4F617A2B"/>
    <w:rsid w:val="506F56B2"/>
    <w:rsid w:val="51C56C38"/>
    <w:rsid w:val="52914C6C"/>
    <w:rsid w:val="54AD5139"/>
    <w:rsid w:val="555846C7"/>
    <w:rsid w:val="56A7023F"/>
    <w:rsid w:val="59B07162"/>
    <w:rsid w:val="5B5F02C6"/>
    <w:rsid w:val="5D265BA5"/>
    <w:rsid w:val="5D293D56"/>
    <w:rsid w:val="5EE0577F"/>
    <w:rsid w:val="6D593268"/>
    <w:rsid w:val="6D6A5061"/>
    <w:rsid w:val="73D665FD"/>
    <w:rsid w:val="75795492"/>
    <w:rsid w:val="770C5427"/>
    <w:rsid w:val="7BC435A7"/>
    <w:rsid w:val="7BF82EAB"/>
    <w:rsid w:val="7C4C1CFE"/>
    <w:rsid w:val="7E2F5E02"/>
    <w:rsid w:val="7E4D4299"/>
    <w:rsid w:val="7F23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Administered</cp:lastModifiedBy>
  <dcterms:modified xsi:type="dcterms:W3CDTF">2026-07-03T07:07:34Z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50C58CED391548A2B10BA66E45B58CF7</vt:lpwstr>
  </property>
</Properties>
</file>