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2513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59FDC46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588F414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76C7B3F3">
      <w:pPr>
        <w:keepNext w:val="0"/>
        <w:keepLines w:val="0"/>
        <w:pageBreakBefore w:val="0"/>
        <w:widowControl w:val="0"/>
        <w:kinsoku/>
        <w:wordWrap/>
        <w:overflowPunct/>
        <w:topLinePunct w:val="0"/>
        <w:autoSpaceDE/>
        <w:autoSpaceDN/>
        <w:bidi w:val="0"/>
        <w:adjustRightInd w:val="0"/>
        <w:snapToGrid w:val="0"/>
        <w:spacing w:before="0" w:after="0" w:line="600" w:lineRule="exact"/>
        <w:ind w:left="0" w:right="0" w:firstLine="0"/>
        <w:jc w:val="center"/>
        <w:textAlignment w:val="auto"/>
        <w:rPr>
          <w:rFonts w:hint="eastAsia" w:ascii="Times New Roman" w:hAnsi="Times New Roman" w:eastAsia="方正小标宋简体" w:cs="方正小标宋简体"/>
          <w:snapToGrid/>
          <w:kern w:val="0"/>
          <w:sz w:val="44"/>
          <w:szCs w:val="44"/>
          <w:lang w:val="en-US" w:eastAsia="zh-CN"/>
        </w:rPr>
      </w:pPr>
      <w:r>
        <w:rPr>
          <w:rFonts w:hint="eastAsia" w:ascii="Times New Roman" w:hAnsi="Times New Roman" w:eastAsia="方正小标宋简体" w:cs="方正小标宋简体"/>
          <w:snapToGrid/>
          <w:kern w:val="0"/>
          <w:sz w:val="44"/>
          <w:szCs w:val="44"/>
          <w:lang w:val="en-US" w:eastAsia="zh-CN"/>
        </w:rPr>
        <w:t>关于田美河闸站工程项目被征地农民</w:t>
      </w:r>
    </w:p>
    <w:p w14:paraId="6F845542">
      <w:pPr>
        <w:keepNext w:val="0"/>
        <w:keepLines w:val="0"/>
        <w:pageBreakBefore w:val="0"/>
        <w:widowControl w:val="0"/>
        <w:kinsoku/>
        <w:wordWrap/>
        <w:overflowPunct/>
        <w:topLinePunct w:val="0"/>
        <w:autoSpaceDE/>
        <w:autoSpaceDN/>
        <w:bidi w:val="0"/>
        <w:adjustRightInd w:val="0"/>
        <w:snapToGrid w:val="0"/>
        <w:spacing w:before="0" w:after="0" w:line="600" w:lineRule="exact"/>
        <w:ind w:left="0" w:right="0" w:firstLine="0"/>
        <w:jc w:val="center"/>
        <w:textAlignment w:val="auto"/>
        <w:rPr>
          <w:rFonts w:ascii="Arial"/>
          <w:sz w:val="21"/>
        </w:rPr>
      </w:pPr>
      <w:r>
        <w:rPr>
          <w:rFonts w:hint="eastAsia" w:ascii="Times New Roman" w:hAnsi="Times New Roman" w:eastAsia="方正小标宋简体" w:cs="方正小标宋简体"/>
          <w:snapToGrid/>
          <w:kern w:val="0"/>
          <w:sz w:val="44"/>
          <w:szCs w:val="44"/>
          <w:lang w:val="en-US" w:eastAsia="zh-CN"/>
        </w:rPr>
        <w:t>养老保障方案</w:t>
      </w:r>
    </w:p>
    <w:p w14:paraId="49681BF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0B419EE5">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依照《中华人民共和国土地管理法》《关于切实做好被征地农民社会保障工作有关问题的通知》（劳社部发〔2007〕14号，下称劳社部发〔2007〕14号）、《广东省人民政府办公厅转发</w:t>
      </w:r>
      <w:r>
        <w:rPr>
          <w:rFonts w:hint="eastAsia" w:ascii="Times New Roman" w:hAnsi="Times New Roman" w:eastAsia="仿宋_GB2312" w:cs="Times New Roman"/>
          <w:snapToGrid w:val="0"/>
          <w:spacing w:val="0"/>
          <w:w w:val="101"/>
          <w:kern w:val="0"/>
          <w:sz w:val="32"/>
          <w:szCs w:val="32"/>
          <w:lang w:val="en-US" w:eastAsia="zh-CN"/>
        </w:rPr>
        <w:t>省人力资源社会保障厅关于进一步完善我省被征地农民养老保障政策意见的通知》（粤府办〔2021〕22号）、《广东省人力资源社会保障厅人社厅关于进一步做好被征地农民社会保障工作完善相关政策的通知》（粤人社规〔2025〕48号）和《广州市人民政府办公厅转发关于进一步完善我省被征地农民养老保</w:t>
      </w:r>
      <w:r>
        <w:rPr>
          <w:rFonts w:hint="eastAsia" w:ascii="Times New Roman" w:hAnsi="Times New Roman" w:eastAsia="仿宋_GB2312" w:cs="Times New Roman"/>
          <w:snapToGrid w:val="0"/>
          <w:spacing w:val="0"/>
          <w:w w:val="99"/>
          <w:kern w:val="0"/>
          <w:sz w:val="32"/>
          <w:szCs w:val="32"/>
          <w:lang w:val="en-US" w:eastAsia="zh-CN"/>
        </w:rPr>
        <w:t>障政策意见的通知》（穗府办规〔2022〕3号）等有关规定，拟定田美河闸站工程项目被征地农民养老保障方案如下：</w:t>
      </w:r>
    </w:p>
    <w:p w14:paraId="7857C5A5">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6" w:firstLineChars="200"/>
        <w:jc w:val="both"/>
        <w:textAlignment w:val="auto"/>
        <w:rPr>
          <w:rFonts w:hint="eastAsia" w:ascii="Times New Roman" w:hAnsi="Times New Roman" w:eastAsia="仿宋_GB2312" w:cs="Times New Roman"/>
          <w:snapToGrid w:val="0"/>
          <w:spacing w:val="0"/>
          <w:w w:val="98"/>
          <w:kern w:val="0"/>
          <w:sz w:val="32"/>
          <w:szCs w:val="32"/>
          <w:lang w:val="en-US" w:eastAsia="zh-CN"/>
        </w:rPr>
      </w:pPr>
      <w:r>
        <w:rPr>
          <w:rFonts w:hint="eastAsia" w:ascii="Times New Roman" w:hAnsi="Times New Roman" w:eastAsia="仿宋_GB2312" w:cs="Times New Roman"/>
          <w:snapToGrid w:val="0"/>
          <w:spacing w:val="0"/>
          <w:w w:val="98"/>
          <w:kern w:val="0"/>
          <w:sz w:val="32"/>
          <w:szCs w:val="32"/>
          <w:lang w:val="en-US" w:eastAsia="zh-CN"/>
        </w:rPr>
        <w:t>一、对田美河闸站工程项目涉及的被征地农民实施社会养老保障。</w:t>
      </w:r>
    </w:p>
    <w:p w14:paraId="3309D49A">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二、征地社保费筹集。依据市规划和自然资源局花都区分局提供情况，该项目征收我区新雅街三向村、新华街横潭村土地面积共10.686亩，其中0亩属于农村集体经济组织留用地，目前征地双方尚未完成征地补偿安置协议签订。该项目征地社保费应</w:t>
      </w:r>
      <w:r>
        <w:rPr>
          <w:rFonts w:hint="eastAsia" w:ascii="Times New Roman" w:hAnsi="Times New Roman" w:eastAsia="仿宋_GB2312" w:cs="Times New Roman"/>
          <w:snapToGrid w:val="0"/>
          <w:spacing w:val="0"/>
          <w:w w:val="100"/>
          <w:kern w:val="0"/>
          <w:sz w:val="32"/>
          <w:szCs w:val="32"/>
          <w:lang w:val="en-US" w:eastAsia="zh-CN"/>
        </w:rPr>
        <w:t>按2.14万元/亩的标准计提（即征地补偿安置方案制定时，我区</w:t>
      </w:r>
      <w:r>
        <w:rPr>
          <w:rFonts w:hint="eastAsia" w:ascii="Times New Roman" w:hAnsi="Times New Roman" w:eastAsia="仿宋_GB2312" w:cs="Times New Roman"/>
          <w:snapToGrid w:val="0"/>
          <w:spacing w:val="0"/>
          <w:w w:val="99"/>
          <w:kern w:val="0"/>
          <w:sz w:val="32"/>
          <w:szCs w:val="32"/>
          <w:lang w:val="en-US" w:eastAsia="zh-CN"/>
        </w:rPr>
        <w:br w:type="page"/>
      </w:r>
    </w:p>
    <w:p w14:paraId="54F041AA">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right="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每亩平均征收农用地综合区片地价13.33万元/亩的16%），其中0亩属于农村集体经济组织留用地，按规定不计提征地社保费，需计提费用共22.88万元由征地主体（用地单位）一次性预存入我区人力资源社会保障部门开设的“收缴被征地农民养老保障资金过渡户”，单列计提并计入征地成本，纳入工程项目概算。</w:t>
      </w:r>
    </w:p>
    <w:p w14:paraId="6878ED6A">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4D51BFE">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6" w:firstLineChars="200"/>
        <w:jc w:val="both"/>
        <w:textAlignment w:val="auto"/>
        <w:rPr>
          <w:rFonts w:hint="eastAsia" w:ascii="Times New Roman" w:hAnsi="Times New Roman" w:eastAsia="仿宋_GB2312" w:cs="Times New Roman"/>
          <w:snapToGrid w:val="0"/>
          <w:spacing w:val="0"/>
          <w:w w:val="101"/>
          <w:kern w:val="0"/>
          <w:sz w:val="32"/>
          <w:szCs w:val="32"/>
          <w:lang w:val="en-US" w:eastAsia="zh-CN"/>
        </w:rPr>
      </w:pPr>
      <w:r>
        <w:rPr>
          <w:rFonts w:hint="eastAsia" w:ascii="Times New Roman" w:hAnsi="Times New Roman" w:eastAsia="仿宋_GB2312" w:cs="Times New Roman"/>
          <w:snapToGrid w:val="0"/>
          <w:spacing w:val="0"/>
          <w:w w:val="101"/>
          <w:kern w:val="0"/>
          <w:sz w:val="32"/>
          <w:szCs w:val="32"/>
          <w:lang w:val="en-US" w:eastAsia="zh-CN"/>
        </w:rPr>
        <w:t>四、征地社保费分配。</w:t>
      </w:r>
    </w:p>
    <w:p w14:paraId="12A4DB60">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（一）征地社保费专款用于被征地农民的基本养老保险缴费补贴。</w:t>
      </w:r>
    </w:p>
    <w:p w14:paraId="1CE7114B">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1.被征地农民参加城乡居民基本养老保险的，征地社保费按规定划入社会保障基金财政专户后计入本人个人账户，合并形成新的个人账户储存额，按规定计息。</w:t>
      </w:r>
    </w:p>
    <w:p w14:paraId="40E96F48">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6" w:firstLineChars="200"/>
        <w:jc w:val="both"/>
        <w:textAlignment w:val="auto"/>
        <w:rPr>
          <w:rFonts w:hint="eastAsia" w:ascii="Times New Roman" w:hAnsi="Times New Roman" w:eastAsia="仿宋_GB2312" w:cs="Times New Roman"/>
          <w:snapToGrid w:val="0"/>
          <w:spacing w:val="0"/>
          <w:w w:val="98"/>
          <w:kern w:val="0"/>
          <w:sz w:val="32"/>
          <w:szCs w:val="32"/>
          <w:lang w:val="en-US" w:eastAsia="zh-CN"/>
        </w:rPr>
      </w:pPr>
      <w:r>
        <w:rPr>
          <w:rFonts w:hint="eastAsia" w:ascii="Times New Roman" w:hAnsi="Times New Roman" w:eastAsia="仿宋_GB2312" w:cs="Times New Roman"/>
          <w:snapToGrid w:val="0"/>
          <w:spacing w:val="0"/>
          <w:w w:val="98"/>
          <w:kern w:val="0"/>
          <w:sz w:val="32"/>
          <w:szCs w:val="32"/>
          <w:lang w:val="en-US" w:eastAsia="zh-CN"/>
        </w:rPr>
        <w:t>2.被征地农民已经领取城乡居民基本养老金的，将征地社保费一次性划入其个人账户，重核个人账户养老金，从次月起按新标准发放。</w:t>
      </w:r>
    </w:p>
    <w:p w14:paraId="66260CEB">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02F561B1">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4.被征地农民已经领取城镇职工基本养老金的，将征地社保费一次性支付本人。</w:t>
      </w:r>
    </w:p>
    <w:p w14:paraId="6A5807DC">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（二）落实</w:t>
      </w:r>
      <w:r>
        <w:rPr>
          <w:rFonts w:hint="default" w:ascii="Times New Roman" w:hAnsi="Times New Roman" w:eastAsia="仿宋_GB2312" w:cs="Times New Roman"/>
          <w:snapToGrid w:val="0"/>
          <w:spacing w:val="0"/>
          <w:w w:val="99"/>
          <w:kern w:val="0"/>
          <w:sz w:val="32"/>
          <w:szCs w:val="32"/>
          <w:lang w:val="en-US" w:eastAsia="zh-CN"/>
        </w:rPr>
        <w:t>“</w:t>
      </w:r>
      <w:r>
        <w:rPr>
          <w:rFonts w:hint="eastAsia" w:ascii="Times New Roman" w:hAnsi="Times New Roman" w:eastAsia="仿宋_GB2312" w:cs="Times New Roman"/>
          <w:snapToGrid w:val="0"/>
          <w:spacing w:val="0"/>
          <w:w w:val="99"/>
          <w:kern w:val="0"/>
          <w:sz w:val="32"/>
          <w:szCs w:val="32"/>
          <w:lang w:val="en-US" w:eastAsia="zh-CN"/>
        </w:rPr>
        <w:t>征地社保费与征地安置补偿费同期拨付</w:t>
      </w:r>
      <w:r>
        <w:rPr>
          <w:rFonts w:hint="default" w:ascii="Times New Roman" w:hAnsi="Times New Roman" w:eastAsia="仿宋_GB2312" w:cs="Times New Roman"/>
          <w:snapToGrid w:val="0"/>
          <w:spacing w:val="0"/>
          <w:w w:val="99"/>
          <w:kern w:val="0"/>
          <w:sz w:val="32"/>
          <w:szCs w:val="32"/>
          <w:lang w:val="en-US" w:eastAsia="zh-CN"/>
        </w:rPr>
        <w:t>”</w:t>
      </w:r>
      <w:r>
        <w:rPr>
          <w:rFonts w:hint="eastAsia" w:ascii="Times New Roman" w:hAnsi="Times New Roman" w:eastAsia="仿宋_GB2312" w:cs="Times New Roman"/>
          <w:snapToGrid w:val="0"/>
          <w:spacing w:val="0"/>
          <w:w w:val="99"/>
          <w:kern w:val="0"/>
          <w:sz w:val="32"/>
          <w:szCs w:val="32"/>
          <w:lang w:val="en-US" w:eastAsia="zh-CN"/>
        </w:rPr>
        <w:t>和</w:t>
      </w:r>
      <w:r>
        <w:rPr>
          <w:rFonts w:hint="default" w:ascii="Times New Roman" w:hAnsi="Times New Roman" w:eastAsia="仿宋_GB2312" w:cs="Times New Roman"/>
          <w:snapToGrid w:val="0"/>
          <w:spacing w:val="0"/>
          <w:w w:val="99"/>
          <w:kern w:val="0"/>
          <w:sz w:val="32"/>
          <w:szCs w:val="32"/>
          <w:lang w:val="en-US" w:eastAsia="zh-CN"/>
        </w:rPr>
        <w:t>“</w:t>
      </w:r>
      <w:r>
        <w:rPr>
          <w:rFonts w:hint="eastAsia" w:ascii="Times New Roman" w:hAnsi="Times New Roman" w:eastAsia="仿宋_GB2312" w:cs="Times New Roman"/>
          <w:snapToGrid w:val="0"/>
          <w:spacing w:val="0"/>
          <w:w w:val="99"/>
          <w:kern w:val="0"/>
          <w:sz w:val="32"/>
          <w:szCs w:val="32"/>
          <w:lang w:val="en-US" w:eastAsia="zh-CN"/>
        </w:rPr>
        <w:t>在项目获批后3个月内完成资金分配工作，落实参保到人</w:t>
      </w:r>
      <w:r>
        <w:rPr>
          <w:rFonts w:hint="default" w:ascii="Times New Roman" w:hAnsi="Times New Roman" w:eastAsia="仿宋_GB2312" w:cs="Times New Roman"/>
          <w:snapToGrid w:val="0"/>
          <w:spacing w:val="0"/>
          <w:w w:val="99"/>
          <w:kern w:val="0"/>
          <w:sz w:val="32"/>
          <w:szCs w:val="32"/>
          <w:lang w:val="en-US" w:eastAsia="zh-CN"/>
        </w:rPr>
        <w:t>”</w:t>
      </w:r>
      <w:r>
        <w:rPr>
          <w:rFonts w:hint="eastAsia" w:ascii="Times New Roman" w:hAnsi="Times New Roman" w:eastAsia="仿宋_GB2312" w:cs="Times New Roman"/>
          <w:snapToGrid w:val="0"/>
          <w:spacing w:val="0"/>
          <w:w w:val="99"/>
          <w:kern w:val="0"/>
          <w:sz w:val="32"/>
          <w:szCs w:val="32"/>
          <w:lang w:val="en-US" w:eastAsia="zh-CN"/>
        </w:rPr>
        <w:t>的有关规定。乡镇人民政府（街道办事处）按规定牵头做好被征地农民的失地面积及纳入征地社保费补贴范围的人数和对象审核、报送工作，及时报送所属社会保险经办部门办理社保手续。</w:t>
      </w:r>
    </w:p>
    <w:p w14:paraId="2B314647">
      <w:pPr>
        <w:spacing w:line="415" w:lineRule="auto"/>
        <w:rPr>
          <w:rFonts w:ascii="Arial"/>
          <w:sz w:val="21"/>
        </w:rPr>
      </w:pPr>
    </w:p>
    <w:p w14:paraId="7B9A9664">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both"/>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附件：征地土地和养老保障情况表</w:t>
      </w:r>
    </w:p>
    <w:p w14:paraId="66A72424">
      <w:pPr>
        <w:spacing w:line="242" w:lineRule="auto"/>
        <w:rPr>
          <w:rFonts w:ascii="Arial"/>
          <w:sz w:val="21"/>
        </w:rPr>
      </w:pPr>
    </w:p>
    <w:p w14:paraId="786A16BB">
      <w:pPr>
        <w:spacing w:line="242" w:lineRule="auto"/>
        <w:rPr>
          <w:rFonts w:ascii="Arial"/>
          <w:sz w:val="21"/>
        </w:rPr>
      </w:pPr>
    </w:p>
    <w:p w14:paraId="54B04992">
      <w:pPr>
        <w:spacing w:line="242" w:lineRule="auto"/>
        <w:rPr>
          <w:rFonts w:ascii="Arial"/>
          <w:sz w:val="21"/>
        </w:rPr>
      </w:pPr>
    </w:p>
    <w:p w14:paraId="7EB4069F">
      <w:pPr>
        <w:spacing w:line="242" w:lineRule="auto"/>
        <w:rPr>
          <w:rFonts w:ascii="Arial"/>
          <w:sz w:val="21"/>
        </w:rPr>
      </w:pPr>
    </w:p>
    <w:p w14:paraId="133595F1">
      <w:pPr>
        <w:spacing w:line="242" w:lineRule="auto"/>
        <w:rPr>
          <w:rFonts w:ascii="Arial"/>
          <w:sz w:val="21"/>
        </w:rPr>
      </w:pPr>
    </w:p>
    <w:p w14:paraId="2BB94E51">
      <w:pPr>
        <w:spacing w:line="243" w:lineRule="auto"/>
        <w:rPr>
          <w:rFonts w:ascii="Arial"/>
          <w:sz w:val="21"/>
        </w:rPr>
      </w:pPr>
    </w:p>
    <w:p w14:paraId="3616E9CE">
      <w:pPr>
        <w:spacing w:line="243" w:lineRule="auto"/>
        <w:rPr>
          <w:rFonts w:ascii="Arial"/>
          <w:sz w:val="21"/>
        </w:rPr>
      </w:pPr>
    </w:p>
    <w:p w14:paraId="2F233845">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right"/>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广州市花都区人力资源和社会保障局</w:t>
      </w:r>
    </w:p>
    <w:p w14:paraId="2D1E60C5">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32" w:firstLineChars="200"/>
        <w:jc w:val="center"/>
        <w:textAlignment w:val="auto"/>
        <w:rPr>
          <w:rFonts w:hint="eastAsia" w:ascii="Times New Roman" w:hAnsi="Times New Roman" w:eastAsia="仿宋_GB2312" w:cs="Times New Roman"/>
          <w:snapToGrid w:val="0"/>
          <w:spacing w:val="0"/>
          <w:w w:val="99"/>
          <w:kern w:val="0"/>
          <w:sz w:val="32"/>
          <w:szCs w:val="32"/>
          <w:lang w:val="en-US" w:eastAsia="zh-CN"/>
        </w:rPr>
      </w:pPr>
      <w:r>
        <w:rPr>
          <w:rFonts w:hint="eastAsia" w:ascii="Times New Roman" w:hAnsi="Times New Roman" w:eastAsia="仿宋_GB2312" w:cs="Times New Roman"/>
          <w:snapToGrid w:val="0"/>
          <w:spacing w:val="0"/>
          <w:w w:val="99"/>
          <w:kern w:val="0"/>
          <w:sz w:val="32"/>
          <w:szCs w:val="32"/>
          <w:lang w:val="en-US" w:eastAsia="zh-CN"/>
        </w:rPr>
        <w:t xml:space="preserve">                                               2026年5月28日</w:t>
      </w:r>
    </w:p>
    <w:p w14:paraId="5F5ED050">
      <w:pPr>
        <w:pStyle w:val="3"/>
        <w:keepNext w:val="0"/>
        <w:keepLines w:val="0"/>
        <w:pageBreakBefore w:val="0"/>
        <w:widowControl w:val="0"/>
        <w:kinsoku/>
        <w:wordWrap w:val="0"/>
        <w:overflowPunct/>
        <w:topLinePunct w:val="0"/>
        <w:autoSpaceDE/>
        <w:autoSpaceDN/>
        <w:bidi w:val="0"/>
        <w:adjustRightInd w:val="0"/>
        <w:snapToGrid w:val="0"/>
        <w:spacing w:before="0" w:after="0" w:line="560" w:lineRule="exact"/>
        <w:ind w:left="0" w:right="0" w:firstLine="632" w:firstLineChars="200"/>
        <w:jc w:val="right"/>
        <w:textAlignment w:val="auto"/>
        <w:rPr>
          <w:rFonts w:hint="default" w:ascii="Times New Roman" w:hAnsi="Times New Roman" w:eastAsia="仿宋_GB2312" w:cs="Times New Roman"/>
          <w:snapToGrid w:val="0"/>
          <w:spacing w:val="0"/>
          <w:w w:val="99"/>
          <w:kern w:val="0"/>
          <w:sz w:val="32"/>
          <w:szCs w:val="32"/>
          <w:lang w:val="en-US" w:eastAsia="zh-CN"/>
        </w:rPr>
        <w:sectPr>
          <w:footerReference r:id="rId5" w:type="default"/>
          <w:pgSz w:w="11900" w:h="16840"/>
          <w:pgMar w:top="2098" w:right="1385" w:bottom="1984" w:left="1650" w:header="0" w:footer="1263" w:gutter="0"/>
          <w:cols w:space="720" w:num="1"/>
        </w:sectPr>
      </w:pPr>
      <w:r>
        <w:rPr>
          <w:rFonts w:hint="eastAsia" w:ascii="Times New Roman" w:hAnsi="Times New Roman" w:eastAsia="仿宋_GB2312" w:cs="Times New Roman"/>
          <w:snapToGrid w:val="0"/>
          <w:spacing w:val="0"/>
          <w:w w:val="99"/>
          <w:kern w:val="0"/>
          <w:sz w:val="32"/>
          <w:szCs w:val="32"/>
          <w:lang w:val="en-US" w:eastAsia="zh-CN"/>
        </w:rPr>
        <w:t xml:space="preserve">   </w:t>
      </w:r>
    </w:p>
    <w:p w14:paraId="5C799DE3">
      <w:pPr>
        <w:spacing w:line="319" w:lineRule="auto"/>
        <w:rPr>
          <w:rFonts w:ascii="Arial"/>
          <w:sz w:val="21"/>
        </w:rPr>
      </w:pPr>
    </w:p>
    <w:p w14:paraId="08109162">
      <w:pPr>
        <w:spacing w:line="319" w:lineRule="auto"/>
        <w:rPr>
          <w:rFonts w:ascii="Arial"/>
          <w:sz w:val="21"/>
        </w:rPr>
      </w:pPr>
    </w:p>
    <w:p w14:paraId="1EAFAD8B">
      <w:pPr>
        <w:spacing w:before="104" w:line="224" w:lineRule="auto"/>
        <w:rPr>
          <w:rFonts w:ascii="黑体" w:hAnsi="黑体" w:eastAsia="黑体" w:cs="黑体"/>
          <w:sz w:val="32"/>
          <w:szCs w:val="32"/>
        </w:rPr>
      </w:pPr>
      <w:r>
        <w:rPr>
          <w:rFonts w:ascii="黑体" w:hAnsi="黑体" w:eastAsia="黑体" w:cs="黑体"/>
          <w:spacing w:val="-8"/>
          <w:sz w:val="32"/>
          <w:szCs w:val="32"/>
        </w:rPr>
        <w:t>附件</w:t>
      </w:r>
    </w:p>
    <w:p w14:paraId="0308FE5D">
      <w:pPr>
        <w:spacing w:before="147" w:line="219" w:lineRule="auto"/>
        <w:ind w:left="1696"/>
        <w:rPr>
          <w:rFonts w:ascii="宋体" w:hAnsi="宋体" w:eastAsia="宋体" w:cs="宋体"/>
          <w:sz w:val="48"/>
          <w:szCs w:val="48"/>
        </w:rPr>
      </w:pPr>
      <w:r>
        <w:rPr>
          <w:rFonts w:ascii="宋体" w:hAnsi="宋体" w:eastAsia="宋体" w:cs="宋体"/>
          <w:b/>
          <w:bCs/>
          <w:spacing w:val="-42"/>
          <w:sz w:val="48"/>
          <w:szCs w:val="48"/>
        </w:rPr>
        <w:t>征收土地及养老保障情况表</w:t>
      </w:r>
    </w:p>
    <w:p w14:paraId="1EC544B1">
      <w:pPr>
        <w:pStyle w:val="3"/>
        <w:spacing w:before="213" w:line="221" w:lineRule="auto"/>
        <w:ind w:left="6439"/>
        <w:rPr>
          <w:sz w:val="25"/>
          <w:szCs w:val="25"/>
        </w:rPr>
      </w:pPr>
      <w:r>
        <w:rPr>
          <w:spacing w:val="-11"/>
          <w:sz w:val="25"/>
          <w:szCs w:val="25"/>
        </w:rPr>
        <w:t>单位：亩、万元</w:t>
      </w:r>
    </w:p>
    <w:p w14:paraId="31790276">
      <w:pPr>
        <w:spacing w:line="59" w:lineRule="exact"/>
      </w:pPr>
    </w:p>
    <w:tbl>
      <w:tblPr>
        <w:tblStyle w:val="7"/>
        <w:tblW w:w="8709"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836"/>
        <w:gridCol w:w="1648"/>
        <w:gridCol w:w="1958"/>
        <w:gridCol w:w="1363"/>
      </w:tblGrid>
      <w:tr w14:paraId="0E30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2" w:hRule="atLeast"/>
        </w:trPr>
        <w:tc>
          <w:tcPr>
            <w:tcW w:w="3740" w:type="dxa"/>
            <w:gridSpan w:val="2"/>
            <w:vAlign w:val="top"/>
          </w:tcPr>
          <w:p w14:paraId="162742B9">
            <w:pPr>
              <w:spacing w:line="334" w:lineRule="auto"/>
              <w:rPr>
                <w:rFonts w:ascii="Arial"/>
                <w:sz w:val="21"/>
              </w:rPr>
            </w:pPr>
          </w:p>
          <w:p w14:paraId="413B5070">
            <w:pPr>
              <w:pStyle w:val="8"/>
              <w:spacing w:before="78" w:line="219" w:lineRule="auto"/>
              <w:ind w:left="1264"/>
            </w:pPr>
            <w:r>
              <w:rPr>
                <w:spacing w:val="-2"/>
              </w:rPr>
              <w:t>被征地单位</w:t>
            </w:r>
          </w:p>
        </w:tc>
        <w:tc>
          <w:tcPr>
            <w:tcW w:w="1648" w:type="dxa"/>
            <w:vAlign w:val="top"/>
          </w:tcPr>
          <w:p w14:paraId="19C47E05">
            <w:pPr>
              <w:spacing w:line="334" w:lineRule="auto"/>
              <w:rPr>
                <w:rFonts w:ascii="Arial"/>
                <w:sz w:val="21"/>
              </w:rPr>
            </w:pPr>
          </w:p>
          <w:p w14:paraId="6BA7CFFB">
            <w:pPr>
              <w:pStyle w:val="8"/>
              <w:spacing w:before="78" w:line="219" w:lineRule="auto"/>
              <w:ind w:left="95"/>
            </w:pPr>
            <w:r>
              <w:rPr>
                <w:spacing w:val="2"/>
              </w:rPr>
              <w:t>征收土地面积</w:t>
            </w:r>
          </w:p>
        </w:tc>
        <w:tc>
          <w:tcPr>
            <w:tcW w:w="1958" w:type="dxa"/>
            <w:vAlign w:val="top"/>
          </w:tcPr>
          <w:p w14:paraId="50A46610">
            <w:pPr>
              <w:pStyle w:val="8"/>
              <w:spacing w:before="254" w:line="219" w:lineRule="auto"/>
              <w:ind w:left="136"/>
              <w:rPr>
                <w:color w:val="auto"/>
              </w:rPr>
            </w:pPr>
            <w:r>
              <w:rPr>
                <w:color w:val="auto"/>
                <w:spacing w:val="-2"/>
              </w:rPr>
              <w:t>其中属于被征地</w:t>
            </w:r>
          </w:p>
          <w:p w14:paraId="49042BA1">
            <w:pPr>
              <w:pStyle w:val="8"/>
              <w:spacing w:before="25" w:line="220" w:lineRule="auto"/>
              <w:ind w:left="136"/>
            </w:pPr>
            <w:r>
              <w:rPr>
                <w:color w:val="auto"/>
                <w:spacing w:val="2"/>
              </w:rPr>
              <w:t>单位留用地面积</w:t>
            </w:r>
          </w:p>
        </w:tc>
        <w:tc>
          <w:tcPr>
            <w:tcW w:w="1363" w:type="dxa"/>
            <w:vAlign w:val="top"/>
          </w:tcPr>
          <w:p w14:paraId="116E4417">
            <w:pPr>
              <w:pStyle w:val="8"/>
              <w:spacing w:before="244" w:line="219" w:lineRule="auto"/>
              <w:ind w:left="79"/>
              <w:rPr>
                <w:color w:val="auto"/>
              </w:rPr>
            </w:pPr>
            <w:r>
              <w:rPr>
                <w:color w:val="auto"/>
                <w:spacing w:val="1"/>
              </w:rPr>
              <w:t>需计提征地</w:t>
            </w:r>
          </w:p>
          <w:p w14:paraId="11181860">
            <w:pPr>
              <w:pStyle w:val="8"/>
              <w:spacing w:before="35" w:line="219" w:lineRule="auto"/>
              <w:ind w:left="319"/>
            </w:pPr>
            <w:r>
              <w:rPr>
                <w:color w:val="auto"/>
                <w:spacing w:val="4"/>
              </w:rPr>
              <w:t>社保费</w:t>
            </w:r>
          </w:p>
        </w:tc>
      </w:tr>
      <w:tr w14:paraId="7FE2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04" w:type="dxa"/>
            <w:vAlign w:val="top"/>
          </w:tcPr>
          <w:p w14:paraId="7EC1D15D">
            <w:pPr>
              <w:spacing w:line="253" w:lineRule="auto"/>
              <w:rPr>
                <w:rFonts w:ascii="Arial"/>
                <w:sz w:val="21"/>
              </w:rPr>
            </w:pPr>
          </w:p>
          <w:p w14:paraId="7F1F81DA">
            <w:pPr>
              <w:pStyle w:val="8"/>
              <w:spacing w:before="78" w:line="219" w:lineRule="auto"/>
              <w:ind w:left="4"/>
            </w:pPr>
            <w:r>
              <w:rPr>
                <w:spacing w:val="-3"/>
              </w:rPr>
              <w:t>新雅街</w:t>
            </w:r>
          </w:p>
        </w:tc>
        <w:tc>
          <w:tcPr>
            <w:tcW w:w="2836" w:type="dxa"/>
            <w:vAlign w:val="top"/>
          </w:tcPr>
          <w:p w14:paraId="0F4A23ED">
            <w:pPr>
              <w:pStyle w:val="8"/>
              <w:spacing w:before="52" w:line="215" w:lineRule="auto"/>
              <w:jc w:val="right"/>
            </w:pPr>
            <w:r>
              <w:rPr>
                <w:spacing w:val="8"/>
              </w:rPr>
              <w:t>三向村第三经济合作社、</w:t>
            </w:r>
          </w:p>
          <w:p w14:paraId="15924E33">
            <w:pPr>
              <w:pStyle w:val="8"/>
              <w:spacing w:line="218" w:lineRule="auto"/>
              <w:ind w:left="211"/>
            </w:pPr>
            <w:r>
              <w:rPr>
                <w:spacing w:val="-1"/>
              </w:rPr>
              <w:t>三向村第二经济合作社</w:t>
            </w:r>
          </w:p>
          <w:p w14:paraId="12D3FBE7">
            <w:pPr>
              <w:pStyle w:val="8"/>
              <w:spacing w:before="6" w:line="204" w:lineRule="auto"/>
              <w:ind w:left="1050"/>
              <w:rPr>
                <w:rFonts w:hint="eastAsia" w:eastAsia="宋体"/>
                <w:lang w:eastAsia="zh-CN"/>
              </w:rPr>
            </w:pPr>
            <w:r>
              <w:rPr>
                <w:rFonts w:hint="eastAsia"/>
                <w:spacing w:val="13"/>
                <w:lang w:eastAsia="zh-CN"/>
              </w:rPr>
              <w:t>（</w:t>
            </w:r>
            <w:r>
              <w:rPr>
                <w:spacing w:val="13"/>
              </w:rPr>
              <w:t>共有</w:t>
            </w:r>
            <w:r>
              <w:rPr>
                <w:rFonts w:hint="eastAsia"/>
                <w:spacing w:val="13"/>
                <w:lang w:eastAsia="zh-CN"/>
              </w:rPr>
              <w:t>）</w:t>
            </w:r>
          </w:p>
        </w:tc>
        <w:tc>
          <w:tcPr>
            <w:tcW w:w="1648" w:type="dxa"/>
            <w:vAlign w:val="top"/>
          </w:tcPr>
          <w:p w14:paraId="7DBF52A2">
            <w:pPr>
              <w:spacing w:line="276" w:lineRule="auto"/>
              <w:rPr>
                <w:rFonts w:ascii="Arial"/>
                <w:sz w:val="21"/>
              </w:rPr>
            </w:pPr>
          </w:p>
          <w:p w14:paraId="4BF3ADF3">
            <w:pPr>
              <w:pStyle w:val="8"/>
              <w:spacing w:before="78" w:line="239" w:lineRule="auto"/>
              <w:ind w:left="454"/>
            </w:pPr>
            <w:r>
              <w:rPr>
                <w:spacing w:val="-2"/>
              </w:rPr>
              <w:t>9.1995</w:t>
            </w:r>
            <w:bookmarkStart w:id="0" w:name="_GoBack"/>
            <w:bookmarkEnd w:id="0"/>
          </w:p>
        </w:tc>
        <w:tc>
          <w:tcPr>
            <w:tcW w:w="1958" w:type="dxa"/>
            <w:vAlign w:val="top"/>
          </w:tcPr>
          <w:p w14:paraId="4DC24118">
            <w:pPr>
              <w:spacing w:line="276" w:lineRule="auto"/>
              <w:rPr>
                <w:rFonts w:ascii="Arial"/>
                <w:sz w:val="21"/>
              </w:rPr>
            </w:pPr>
          </w:p>
          <w:p w14:paraId="1CC7E8CD">
            <w:pPr>
              <w:pStyle w:val="8"/>
              <w:spacing w:before="78"/>
              <w:ind w:left="916"/>
            </w:pPr>
            <w:r>
              <w:t>0</w:t>
            </w:r>
          </w:p>
        </w:tc>
        <w:tc>
          <w:tcPr>
            <w:tcW w:w="1363" w:type="dxa"/>
            <w:vAlign w:val="top"/>
          </w:tcPr>
          <w:p w14:paraId="51785111">
            <w:pPr>
              <w:spacing w:line="276" w:lineRule="auto"/>
              <w:rPr>
                <w:rFonts w:ascii="Arial"/>
                <w:sz w:val="21"/>
              </w:rPr>
            </w:pPr>
          </w:p>
          <w:p w14:paraId="6396689D">
            <w:pPr>
              <w:pStyle w:val="8"/>
              <w:spacing w:before="78" w:line="239" w:lineRule="auto"/>
              <w:ind w:left="379"/>
            </w:pPr>
            <w:r>
              <w:rPr>
                <w:spacing w:val="-5"/>
              </w:rPr>
              <w:t>19.69</w:t>
            </w:r>
          </w:p>
        </w:tc>
      </w:tr>
      <w:tr w14:paraId="2E342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04" w:type="dxa"/>
            <w:vMerge w:val="restart"/>
            <w:tcBorders>
              <w:bottom w:val="nil"/>
            </w:tcBorders>
            <w:vAlign w:val="top"/>
          </w:tcPr>
          <w:p w14:paraId="07C8039D">
            <w:pPr>
              <w:spacing w:line="286" w:lineRule="auto"/>
              <w:rPr>
                <w:rFonts w:ascii="Arial"/>
                <w:sz w:val="21"/>
              </w:rPr>
            </w:pPr>
          </w:p>
          <w:p w14:paraId="51E0E33D">
            <w:pPr>
              <w:spacing w:line="287" w:lineRule="auto"/>
              <w:rPr>
                <w:rFonts w:ascii="Arial"/>
                <w:sz w:val="21"/>
              </w:rPr>
            </w:pPr>
          </w:p>
          <w:p w14:paraId="66177D88">
            <w:pPr>
              <w:pStyle w:val="8"/>
              <w:spacing w:before="78" w:line="219" w:lineRule="auto"/>
              <w:ind w:left="4"/>
            </w:pPr>
            <w:r>
              <w:rPr>
                <w:spacing w:val="-3"/>
              </w:rPr>
              <w:t>新华街</w:t>
            </w:r>
          </w:p>
        </w:tc>
        <w:tc>
          <w:tcPr>
            <w:tcW w:w="2836" w:type="dxa"/>
            <w:vAlign w:val="top"/>
          </w:tcPr>
          <w:p w14:paraId="36A695DA">
            <w:pPr>
              <w:pStyle w:val="8"/>
              <w:spacing w:before="263" w:line="219" w:lineRule="auto"/>
              <w:ind w:left="211"/>
            </w:pPr>
            <w:r>
              <w:rPr>
                <w:color w:val="auto"/>
                <w:spacing w:val="-1"/>
              </w:rPr>
              <w:t>横潭村横潭经济联合社</w:t>
            </w:r>
          </w:p>
        </w:tc>
        <w:tc>
          <w:tcPr>
            <w:tcW w:w="1648" w:type="dxa"/>
            <w:vAlign w:val="top"/>
          </w:tcPr>
          <w:p w14:paraId="756EE73F">
            <w:pPr>
              <w:pStyle w:val="8"/>
              <w:spacing w:before="288" w:line="239" w:lineRule="auto"/>
              <w:ind w:left="454"/>
            </w:pPr>
            <w:r>
              <w:rPr>
                <w:spacing w:val="-4"/>
              </w:rPr>
              <w:t>1.1955</w:t>
            </w:r>
          </w:p>
        </w:tc>
        <w:tc>
          <w:tcPr>
            <w:tcW w:w="1958" w:type="dxa"/>
            <w:vAlign w:val="top"/>
          </w:tcPr>
          <w:p w14:paraId="7A43B9EA">
            <w:pPr>
              <w:pStyle w:val="8"/>
              <w:spacing w:before="288"/>
              <w:ind w:left="916"/>
            </w:pPr>
            <w:r>
              <w:t>0</w:t>
            </w:r>
          </w:p>
        </w:tc>
        <w:tc>
          <w:tcPr>
            <w:tcW w:w="1363" w:type="dxa"/>
            <w:vAlign w:val="top"/>
          </w:tcPr>
          <w:p w14:paraId="115F3155">
            <w:pPr>
              <w:pStyle w:val="8"/>
              <w:spacing w:before="288" w:line="239" w:lineRule="auto"/>
              <w:ind w:left="438"/>
            </w:pPr>
            <w:r>
              <w:rPr>
                <w:spacing w:val="-3"/>
              </w:rPr>
              <w:t>2.56</w:t>
            </w:r>
          </w:p>
        </w:tc>
      </w:tr>
      <w:tr w14:paraId="0F40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904" w:type="dxa"/>
            <w:vMerge w:val="continue"/>
            <w:tcBorders>
              <w:top w:val="nil"/>
            </w:tcBorders>
            <w:vAlign w:val="top"/>
          </w:tcPr>
          <w:p w14:paraId="0EAA47F3">
            <w:pPr>
              <w:rPr>
                <w:rFonts w:ascii="Arial"/>
                <w:sz w:val="21"/>
              </w:rPr>
            </w:pPr>
          </w:p>
        </w:tc>
        <w:tc>
          <w:tcPr>
            <w:tcW w:w="2836" w:type="dxa"/>
            <w:vAlign w:val="top"/>
          </w:tcPr>
          <w:p w14:paraId="36D13FDC">
            <w:pPr>
              <w:pStyle w:val="8"/>
              <w:spacing w:before="275" w:line="219" w:lineRule="auto"/>
              <w:ind w:left="211"/>
            </w:pPr>
            <w:r>
              <w:rPr>
                <w:spacing w:val="-1"/>
              </w:rPr>
              <w:t>横潭村第三经济合作社</w:t>
            </w:r>
          </w:p>
        </w:tc>
        <w:tc>
          <w:tcPr>
            <w:tcW w:w="1648" w:type="dxa"/>
            <w:vAlign w:val="top"/>
          </w:tcPr>
          <w:p w14:paraId="7398DCFD">
            <w:pPr>
              <w:pStyle w:val="8"/>
              <w:spacing w:before="300" w:line="239" w:lineRule="auto"/>
              <w:ind w:left="514"/>
            </w:pPr>
            <w:r>
              <w:rPr>
                <w:spacing w:val="-2"/>
              </w:rPr>
              <w:t>0.291</w:t>
            </w:r>
          </w:p>
        </w:tc>
        <w:tc>
          <w:tcPr>
            <w:tcW w:w="1958" w:type="dxa"/>
            <w:vAlign w:val="top"/>
          </w:tcPr>
          <w:p w14:paraId="3AC1FCD4">
            <w:pPr>
              <w:pStyle w:val="8"/>
              <w:spacing w:before="300"/>
              <w:ind w:left="916"/>
            </w:pPr>
            <w:r>
              <w:t>0</w:t>
            </w:r>
          </w:p>
        </w:tc>
        <w:tc>
          <w:tcPr>
            <w:tcW w:w="1363" w:type="dxa"/>
            <w:vAlign w:val="top"/>
          </w:tcPr>
          <w:p w14:paraId="4C5B5CC9">
            <w:pPr>
              <w:pStyle w:val="8"/>
              <w:spacing w:before="300" w:line="239" w:lineRule="auto"/>
              <w:ind w:left="438"/>
            </w:pPr>
            <w:r>
              <w:rPr>
                <w:spacing w:val="-3"/>
              </w:rPr>
              <w:t>0.63</w:t>
            </w:r>
          </w:p>
        </w:tc>
      </w:tr>
      <w:tr w14:paraId="3217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740" w:type="dxa"/>
            <w:gridSpan w:val="2"/>
            <w:vAlign w:val="top"/>
          </w:tcPr>
          <w:p w14:paraId="5A07242A">
            <w:pPr>
              <w:pStyle w:val="8"/>
              <w:spacing w:before="270" w:line="221" w:lineRule="auto"/>
              <w:ind w:left="1244"/>
            </w:pPr>
            <w:r>
              <w:rPr>
                <w:spacing w:val="-6"/>
              </w:rPr>
              <w:t>合</w:t>
            </w:r>
            <w:r>
              <w:rPr>
                <w:spacing w:val="20"/>
              </w:rPr>
              <w:t xml:space="preserve">     </w:t>
            </w:r>
            <w:r>
              <w:rPr>
                <w:spacing w:val="-6"/>
              </w:rPr>
              <w:t>计</w:t>
            </w:r>
          </w:p>
        </w:tc>
        <w:tc>
          <w:tcPr>
            <w:tcW w:w="1648" w:type="dxa"/>
            <w:vAlign w:val="top"/>
          </w:tcPr>
          <w:p w14:paraId="4848EF0D">
            <w:pPr>
              <w:pStyle w:val="8"/>
              <w:spacing w:before="292" w:line="239" w:lineRule="auto"/>
              <w:ind w:left="454"/>
            </w:pPr>
            <w:r>
              <w:rPr>
                <w:spacing w:val="-4"/>
              </w:rPr>
              <w:t>10.686</w:t>
            </w:r>
          </w:p>
        </w:tc>
        <w:tc>
          <w:tcPr>
            <w:tcW w:w="1958" w:type="dxa"/>
            <w:vAlign w:val="top"/>
          </w:tcPr>
          <w:p w14:paraId="55FDA29A">
            <w:pPr>
              <w:pStyle w:val="8"/>
              <w:spacing w:before="292"/>
              <w:ind w:left="916"/>
            </w:pPr>
            <w:r>
              <w:t>0</w:t>
            </w:r>
          </w:p>
        </w:tc>
        <w:tc>
          <w:tcPr>
            <w:tcW w:w="1363" w:type="dxa"/>
            <w:vAlign w:val="top"/>
          </w:tcPr>
          <w:p w14:paraId="037B76FC">
            <w:pPr>
              <w:pStyle w:val="8"/>
              <w:spacing w:before="292" w:line="239" w:lineRule="auto"/>
              <w:ind w:left="379"/>
            </w:pPr>
            <w:r>
              <w:rPr>
                <w:spacing w:val="-2"/>
              </w:rPr>
              <w:t>22.88</w:t>
            </w:r>
          </w:p>
        </w:tc>
      </w:tr>
    </w:tbl>
    <w:p w14:paraId="6EBA9A6C">
      <w:pPr>
        <w:pStyle w:val="3"/>
        <w:spacing w:before="56" w:line="223" w:lineRule="auto"/>
        <w:ind w:firstLine="29"/>
        <w:jc w:val="both"/>
        <w:rPr>
          <w:rFonts w:hint="eastAsia" w:ascii="Times New Roman" w:hAnsi="Times New Roman" w:eastAsia="仿宋" w:cs="仿宋"/>
          <w:sz w:val="26"/>
          <w:szCs w:val="26"/>
        </w:rPr>
      </w:pPr>
      <w:r>
        <w:rPr>
          <w:rFonts w:hint="eastAsia" w:ascii="Times New Roman" w:hAnsi="Times New Roman" w:eastAsia="仿宋" w:cs="仿宋"/>
          <w:spacing w:val="-2"/>
          <w:sz w:val="25"/>
          <w:szCs w:val="25"/>
        </w:rPr>
        <w:t>备注：该项目按2.14万元/亩的标准计提征地社保费</w:t>
      </w:r>
      <w:r>
        <w:rPr>
          <w:rFonts w:hint="eastAsia" w:ascii="Times New Roman" w:hAnsi="Times New Roman" w:eastAsia="仿宋" w:cs="仿宋"/>
          <w:spacing w:val="-2"/>
          <w:sz w:val="25"/>
          <w:szCs w:val="25"/>
          <w:lang w:eastAsia="zh-CN"/>
        </w:rPr>
        <w:t>，</w:t>
      </w:r>
      <w:r>
        <w:rPr>
          <w:rFonts w:hint="eastAsia" w:ascii="Times New Roman" w:hAnsi="Times New Roman" w:eastAsia="仿宋" w:cs="仿宋"/>
          <w:spacing w:val="-2"/>
          <w:sz w:val="25"/>
          <w:szCs w:val="25"/>
        </w:rPr>
        <w:t>即：按</w:t>
      </w:r>
      <w:r>
        <w:rPr>
          <w:rFonts w:hint="eastAsia" w:ascii="Times New Roman" w:hAnsi="Times New Roman" w:eastAsia="仿宋" w:cs="仿宋"/>
          <w:spacing w:val="-3"/>
          <w:sz w:val="25"/>
          <w:szCs w:val="25"/>
        </w:rPr>
        <w:t>征地补偿安置方案制</w:t>
      </w:r>
      <w:r>
        <w:rPr>
          <w:rFonts w:hint="eastAsia" w:ascii="Times New Roman" w:hAnsi="Times New Roman" w:eastAsia="仿宋" w:cs="仿宋"/>
          <w:spacing w:val="-15"/>
          <w:sz w:val="26"/>
          <w:szCs w:val="26"/>
        </w:rPr>
        <w:t>定时</w:t>
      </w:r>
      <w:r>
        <w:rPr>
          <w:rFonts w:hint="eastAsia" w:ascii="Times New Roman" w:hAnsi="Times New Roman" w:eastAsia="仿宋" w:cs="仿宋"/>
          <w:spacing w:val="-15"/>
          <w:sz w:val="26"/>
          <w:szCs w:val="26"/>
          <w:lang w:eastAsia="zh-CN"/>
        </w:rPr>
        <w:t>，</w:t>
      </w:r>
      <w:r>
        <w:rPr>
          <w:rFonts w:hint="eastAsia" w:ascii="Times New Roman" w:hAnsi="Times New Roman" w:eastAsia="仿宋" w:cs="仿宋"/>
          <w:spacing w:val="-15"/>
          <w:sz w:val="26"/>
          <w:szCs w:val="26"/>
        </w:rPr>
        <w:t>花都区平均每亩征收农用地区片综合地价13.33万元/亩的16%。属于</w:t>
      </w:r>
      <w:r>
        <w:rPr>
          <w:rFonts w:hint="eastAsia" w:ascii="Times New Roman" w:hAnsi="Times New Roman" w:eastAsia="仿宋" w:cs="仿宋"/>
          <w:spacing w:val="-16"/>
          <w:sz w:val="26"/>
          <w:szCs w:val="26"/>
        </w:rPr>
        <w:t>农村集</w:t>
      </w:r>
      <w:r>
        <w:rPr>
          <w:rFonts w:hint="eastAsia" w:ascii="Times New Roman" w:hAnsi="Times New Roman" w:eastAsia="仿宋" w:cs="仿宋"/>
          <w:spacing w:val="-20"/>
          <w:sz w:val="26"/>
          <w:szCs w:val="26"/>
        </w:rPr>
        <w:t>体经济组织留用地的</w:t>
      </w:r>
      <w:r>
        <w:rPr>
          <w:rFonts w:hint="eastAsia" w:ascii="Times New Roman" w:hAnsi="Times New Roman" w:eastAsia="仿宋" w:cs="仿宋"/>
          <w:spacing w:val="-20"/>
          <w:sz w:val="26"/>
          <w:szCs w:val="26"/>
          <w:lang w:eastAsia="zh-CN"/>
        </w:rPr>
        <w:t>，</w:t>
      </w:r>
      <w:r>
        <w:rPr>
          <w:rFonts w:hint="eastAsia" w:ascii="Times New Roman" w:hAnsi="Times New Roman" w:eastAsia="仿宋" w:cs="仿宋"/>
          <w:spacing w:val="-20"/>
          <w:sz w:val="26"/>
          <w:szCs w:val="26"/>
        </w:rPr>
        <w:t>按规定不计提征地社保费。</w:t>
      </w:r>
    </w:p>
    <w:p w14:paraId="0EBFB7BD">
      <w:pPr>
        <w:spacing w:line="316" w:lineRule="auto"/>
        <w:rPr>
          <w:rFonts w:ascii="Arial"/>
          <w:sz w:val="21"/>
        </w:rPr>
      </w:pPr>
    </w:p>
    <w:p w14:paraId="25AB11C0">
      <w:pPr>
        <w:spacing w:line="2410" w:lineRule="exact"/>
        <w:ind w:firstLine="1329"/>
      </w:pPr>
    </w:p>
    <w:sectPr>
      <w:footerReference r:id="rId6" w:type="default"/>
      <w:pgSz w:w="11900" w:h="16840"/>
      <w:pgMar w:top="1431" w:right="1438" w:bottom="1518" w:left="1640" w:header="0" w:footer="12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62A970-A7F2-4602-9F47-0634FD4A2C82}"/>
  </w:font>
  <w:font w:name="黑体">
    <w:panose1 w:val="02010609060101010101"/>
    <w:charset w:val="86"/>
    <w:family w:val="auto"/>
    <w:pitch w:val="default"/>
    <w:sig w:usb0="800002BF" w:usb1="38CF7CFA" w:usb2="00000016" w:usb3="00000000" w:csb0="00040001" w:csb1="00000000"/>
    <w:embedRegular r:id="rId2" w:fontKey="{C0BB8F5B-D5C6-4AB0-9F03-A8E5B2E0BD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2563453-C1C7-4961-B01E-D064F7778C4E}"/>
  </w:font>
  <w:font w:name="方正小标宋简体">
    <w:panose1 w:val="02010600010101010101"/>
    <w:charset w:val="86"/>
    <w:family w:val="auto"/>
    <w:pitch w:val="default"/>
    <w:sig w:usb0="00000001" w:usb1="080E0000" w:usb2="00000000" w:usb3="00000000" w:csb0="00040000" w:csb1="00000000"/>
    <w:embedRegular r:id="rId4" w:fontKey="{CF45060C-4352-4DE2-958B-E7FE682C4133}"/>
  </w:font>
  <w:font w:name="Adobe 黑体 Std R">
    <w:altName w:val="黑体"/>
    <w:panose1 w:val="020B0400000000000000"/>
    <w:charset w:val="80"/>
    <w:family w:val="swiss"/>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embedRegular r:id="rId5" w:fontKey="{F644EEB9-FB97-4B35-8566-B0EFFE5949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E873">
    <w:pPr>
      <w:spacing w:line="172" w:lineRule="auto"/>
      <w:ind w:left="7349"/>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8"/>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7"/>
        <w:sz w:val="24"/>
        <w:szCs w:val="24"/>
      </w:rPr>
      <w:t xml:space="preserve">    </w:t>
    </w:r>
    <w:r>
      <w:rPr>
        <w:rFonts w:ascii="宋体" w:hAnsi="宋体" w:eastAsia="宋体" w:cs="宋体"/>
        <w:spacing w:val="-6"/>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3181">
    <w:pPr>
      <w:spacing w:line="173" w:lineRule="auto"/>
      <w:ind w:left="319"/>
      <w:rPr>
        <w:rFonts w:ascii="宋体" w:hAnsi="宋体" w:eastAsia="宋体" w:cs="宋体"/>
        <w:sz w:val="26"/>
        <w:szCs w:val="26"/>
      </w:rPr>
    </w:pPr>
    <w:r>
      <w:rPr>
        <w:rFonts w:ascii="宋体" w:hAnsi="宋体" w:eastAsia="宋体" w:cs="宋体"/>
        <w:spacing w:val="-3"/>
        <w:sz w:val="26"/>
        <w:szCs w:val="26"/>
      </w:rPr>
      <w:t xml:space="preserve">—  </w:t>
    </w:r>
    <w:r>
      <w:rPr>
        <w:rFonts w:ascii="Times New Roman" w:hAnsi="Times New Roman" w:eastAsia="Times New Roman" w:cs="Times New Roman"/>
        <w:spacing w:val="-3"/>
        <w:sz w:val="26"/>
        <w:szCs w:val="26"/>
      </w:rPr>
      <w:t>4</w:t>
    </w:r>
    <w:r>
      <w:rPr>
        <w:rFonts w:ascii="Times New Roman" w:hAnsi="Times New Roman" w:eastAsia="Times New Roman" w:cs="Times New Roman"/>
        <w:spacing w:val="1"/>
        <w:sz w:val="26"/>
        <w:szCs w:val="26"/>
      </w:rPr>
      <w:t xml:space="preserve">    </w:t>
    </w:r>
    <w:r>
      <w:rPr>
        <w:rFonts w:ascii="宋体" w:hAnsi="宋体" w:eastAsia="宋体" w:cs="宋体"/>
        <w:spacing w:val="-3"/>
        <w:sz w:val="26"/>
        <w:szCs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F25AF"/>
    <w:rsid w:val="18793B81"/>
    <w:rsid w:val="3B330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1460</Words>
  <Characters>1551</Characters>
  <TotalTime>35</TotalTime>
  <ScaleCrop>false</ScaleCrop>
  <LinksUpToDate>false</LinksUpToDate>
  <CharactersWithSpaces>1597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2026-06-23T16:24:00Z</dcterms:created>
  <dc:creator>adim</dc:creator>
  <cp:lastModifiedBy>2222222</cp:lastModifiedBy>
  <dcterms:modified xsi:type="dcterms:W3CDTF">2026-06-23T09:23:44Z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2026-06-23T16:24:35Z</vt:filetime>
  </property>
  <property fmtid="{D5CDD505-2E9C-101B-9397-08002B2CF9AE}" pid="4" name="UsrData">
    <vt:lpwstr>6a3a42be8528f9001fe8146bwl</vt:lpwstr>
  </property>
  <property fmtid="{D5CDD505-2E9C-101B-9397-08002B2CF9AE}" pid="5" name="KSOTemplateDocerSaveRecord">
    <vt:lpwstr>eyJoZGlkIjoiODJhMjdmODJjY2ZiYmFjZDczMTBhNTlmN2MwYjM5OGYiLCJ1c2VySWQiOiI3MTQxMDM0MTEifQ==</vt:lpwstr>
  </property>
  <property fmtid="{D5CDD505-2E9C-101B-9397-08002B2CF9AE}" pid="6" name="KSOProductBuildVer">
    <vt:lpwstr>2052-12.1.0.26895</vt:lpwstr>
  </property>
  <property fmtid="{D5CDD505-2E9C-101B-9397-08002B2CF9AE}" pid="7" name="ICV">
    <vt:lpwstr>3986A69F11C94EFDA86E65FD0B6C860B_12</vt:lpwstr>
  </property>
</Properties>
</file>