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both"/>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sz w:val="32"/>
        </w:rPr>
        <mc:AlternateContent>
          <mc:Choice Requires="wps">
            <w:drawing>
              <wp:anchor distT="0" distB="0" distL="114300" distR="114300" simplePos="0" relativeHeight="251659264" behindDoc="0" locked="0" layoutInCell="1" allowOverlap="1">
                <wp:simplePos x="0" y="0"/>
                <wp:positionH relativeFrom="column">
                  <wp:posOffset>-457200</wp:posOffset>
                </wp:positionH>
                <wp:positionV relativeFrom="paragraph">
                  <wp:posOffset>-685800</wp:posOffset>
                </wp:positionV>
                <wp:extent cx="941705" cy="1828800"/>
                <wp:effectExtent l="4445" t="5080" r="13970" b="10160"/>
                <wp:wrapSquare wrapText="bothSides"/>
                <wp:docPr id="1" name="文本框 1"/>
                <wp:cNvGraphicFramePr/>
                <a:graphic xmlns:a="http://schemas.openxmlformats.org/drawingml/2006/main">
                  <a:graphicData uri="http://schemas.microsoft.com/office/word/2010/wordprocessingShape">
                    <wps:wsp>
                      <wps:cNvSpPr txBox="1"/>
                      <wps:spPr>
                        <a:xfrm>
                          <a:off x="0" y="0"/>
                          <a:ext cx="941705" cy="182880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pPr>
                              <w:widowControl/>
                              <w:spacing w:line="600" w:lineRule="exact"/>
                              <w:jc w:val="both"/>
                              <w:textAlignment w:val="baseline"/>
                              <w:rPr>
                                <w:rFonts w:hint="default" w:ascii="黑体" w:hAnsi="黑体" w:eastAsia="黑体" w:cs="黑体"/>
                                <w:color w:val="auto"/>
                                <w:sz w:val="32"/>
                                <w:szCs w:val="32"/>
                                <w:highlight w:val="none"/>
                                <w:lang w:val="en-US" w:eastAsia="zh-CN"/>
                              </w:rPr>
                            </w:pP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36pt;margin-top:-54pt;height:144pt;width:74.15pt;mso-wrap-distance-bottom:0pt;mso-wrap-distance-left:9pt;mso-wrap-distance-right:9pt;mso-wrap-distance-top:0pt;z-index:251659264;mso-width-relative:page;mso-height-relative:page;" fillcolor="#FFFFFF [3201]" filled="t" stroked="t" coordsize="21600,21600" o:gfxdata="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qfnYw2AAAAAsB&#10;AAAPAAAAAAAAAAEAIAAAACIAAABkcnMvZG93bnJldi54bWxQSwECFAAUAAAACACHTuJAb07ywFQC&#10;AAC4BAAADgAAAAAAAAABACAAAAAnAQAAZHJzL2Uyb0RvYy54bWxQSwUGAAAAAAYABgBZAQAA7QUA&#10;AAAA&#10;">
                <v:fill on="t" focussize="0,0"/>
                <v:stroke weight="0.5pt" color="#FFFFFF [3212]" joinstyle="round"/>
                <v:imagedata o:title=""/>
                <o:lock v:ext="edit" aspectratio="f"/>
                <v:textbox style="mso-fit-shape-to-text:t;">
                  <w:txbxContent>
                    <w:p>
                      <w:pPr>
                        <w:widowControl/>
                        <w:spacing w:line="600" w:lineRule="exact"/>
                        <w:jc w:val="both"/>
                        <w:textAlignment w:val="baseline"/>
                        <w:rPr>
                          <w:rFonts w:hint="default" w:ascii="黑体" w:hAnsi="黑体" w:eastAsia="黑体" w:cs="黑体"/>
                          <w:color w:val="auto"/>
                          <w:sz w:val="32"/>
                          <w:szCs w:val="32"/>
                          <w:highlight w:val="none"/>
                          <w:lang w:val="en-US" w:eastAsia="zh-CN"/>
                        </w:rPr>
                      </w:pPr>
                    </w:p>
                  </w:txbxContent>
                </v:textbox>
                <w10:wrap type="square"/>
              </v:shape>
            </w:pict>
          </mc:Fallback>
        </mc:AlternateContent>
      </w:r>
    </w:p>
    <w:p>
      <w:pPr>
        <w:widowControl/>
        <w:spacing w:line="600" w:lineRule="exact"/>
        <w:ind w:firstLine="645"/>
        <w:jc w:val="right"/>
        <w:textAlignment w:val="baseline"/>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粤府土审（02）〔20</w:t>
      </w:r>
      <w:r>
        <w:rPr>
          <w:rFonts w:hint="default"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val="en-US" w:eastAsia="zh-CN"/>
        </w:rPr>
        <w:t>6</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134</w:t>
      </w:r>
      <w:r>
        <w:rPr>
          <w:rFonts w:hint="eastAsia" w:ascii="Times New Roman" w:hAnsi="Times New Roman" w:eastAsia="仿宋_GB2312" w:cs="Times New Roman"/>
          <w:color w:val="auto"/>
          <w:sz w:val="32"/>
          <w:szCs w:val="32"/>
          <w:highlight w:val="none"/>
        </w:rPr>
        <w:t>号</w:t>
      </w:r>
    </w:p>
    <w:p>
      <w:pPr>
        <w:spacing w:line="600" w:lineRule="exact"/>
        <w:jc w:val="center"/>
        <w:rPr>
          <w:rFonts w:hint="eastAsia" w:ascii="Times New Roman" w:hAnsi="Times New Roman" w:eastAsia="方正小标宋简体" w:cs="方正小标宋简体"/>
          <w:bCs/>
          <w:color w:val="auto"/>
          <w:sz w:val="44"/>
          <w:szCs w:val="44"/>
          <w:highlight w:val="none"/>
        </w:rPr>
      </w:pPr>
    </w:p>
    <w:p>
      <w:pPr>
        <w:keepNext w:val="0"/>
        <w:keepLines w:val="0"/>
        <w:pageBreakBefore w:val="0"/>
        <w:kinsoku/>
        <w:wordWrap/>
        <w:overflowPunct/>
        <w:topLinePunct w:val="0"/>
        <w:bidi w:val="0"/>
        <w:adjustRightInd/>
        <w:snapToGrid/>
        <w:spacing w:line="600" w:lineRule="exact"/>
        <w:jc w:val="center"/>
        <w:rPr>
          <w:rFonts w:hint="eastAsia" w:ascii="Times New Roman" w:hAnsi="Times New Roman" w:eastAsia="方正小标宋_GBK" w:cs="方正小标宋_GBK"/>
          <w:bCs/>
          <w:color w:val="auto"/>
          <w:sz w:val="44"/>
          <w:szCs w:val="44"/>
          <w:highlight w:val="none"/>
          <w:u w:val="none"/>
        </w:rPr>
      </w:pPr>
      <w:r>
        <w:rPr>
          <w:rFonts w:hint="eastAsia" w:ascii="Times New Roman" w:hAnsi="Times New Roman" w:eastAsia="方正小标宋_GBK" w:cs="方正小标宋_GBK"/>
          <w:bCs/>
          <w:color w:val="auto"/>
          <w:sz w:val="44"/>
          <w:szCs w:val="44"/>
          <w:highlight w:val="none"/>
        </w:rPr>
        <w:t>广东省</w:t>
      </w:r>
      <w:r>
        <w:rPr>
          <w:rFonts w:hint="eastAsia" w:ascii="方正小标宋_GBK" w:hAnsi="方正小标宋_GBK" w:eastAsia="方正小标宋_GBK" w:cs="方正小标宋_GBK"/>
          <w:bCs/>
          <w:sz w:val="44"/>
          <w:szCs w:val="44"/>
        </w:rPr>
        <w:t>人民政府关于广州市</w:t>
      </w:r>
      <w:r>
        <w:rPr>
          <w:rFonts w:hint="eastAsia" w:ascii="方正小标宋_GBK" w:hAnsi="方正小标宋_GBK" w:eastAsia="方正小标宋_GBK" w:cs="方正小标宋_GBK"/>
          <w:bCs/>
          <w:sz w:val="44"/>
          <w:szCs w:val="44"/>
          <w:lang w:eastAsia="zh-CN"/>
        </w:rPr>
        <w:t>番禺</w:t>
      </w:r>
      <w:r>
        <w:rPr>
          <w:rFonts w:hint="eastAsia" w:ascii="方正小标宋_GBK" w:hAnsi="方正小标宋_GBK" w:eastAsia="方正小标宋_GBK" w:cs="方正小标宋_GBK"/>
          <w:bCs/>
          <w:sz w:val="44"/>
          <w:szCs w:val="44"/>
        </w:rPr>
        <w:t>区202</w:t>
      </w:r>
      <w:r>
        <w:rPr>
          <w:rFonts w:hint="eastAsia" w:ascii="方正小标宋_GBK" w:hAnsi="方正小标宋_GBK" w:eastAsia="方正小标宋_GBK" w:cs="方正小标宋_GBK"/>
          <w:bCs/>
          <w:sz w:val="44"/>
          <w:szCs w:val="44"/>
          <w:lang w:val="en-US" w:eastAsia="zh-CN"/>
        </w:rPr>
        <w:t>4</w:t>
      </w:r>
      <w:r>
        <w:rPr>
          <w:rFonts w:hint="eastAsia" w:ascii="方正小标宋_GBK" w:hAnsi="方正小标宋_GBK" w:eastAsia="方正小标宋_GBK" w:cs="方正小标宋_GBK"/>
          <w:bCs/>
          <w:sz w:val="44"/>
          <w:szCs w:val="44"/>
        </w:rPr>
        <w:t>年度第</w:t>
      </w:r>
      <w:r>
        <w:rPr>
          <w:rFonts w:hint="eastAsia" w:ascii="方正小标宋_GBK" w:hAnsi="方正小标宋_GBK" w:eastAsia="方正小标宋_GBK" w:cs="方正小标宋_GBK"/>
          <w:bCs/>
          <w:sz w:val="44"/>
          <w:szCs w:val="44"/>
          <w:lang w:eastAsia="zh-CN"/>
        </w:rPr>
        <w:t>六十八</w:t>
      </w:r>
      <w:r>
        <w:rPr>
          <w:rFonts w:hint="eastAsia" w:ascii="方正小标宋_GBK" w:hAnsi="方正小标宋_GBK" w:eastAsia="方正小标宋_GBK" w:cs="方正小标宋_GBK"/>
          <w:bCs/>
          <w:sz w:val="44"/>
          <w:szCs w:val="44"/>
        </w:rPr>
        <w:t>批次城镇建设用地的批</w:t>
      </w:r>
      <w:r>
        <w:rPr>
          <w:rFonts w:hint="eastAsia" w:ascii="Times New Roman" w:hAnsi="Times New Roman" w:eastAsia="方正小标宋_GBK" w:cs="方正小标宋_GBK"/>
          <w:bCs/>
          <w:color w:val="auto"/>
          <w:sz w:val="44"/>
          <w:szCs w:val="44"/>
          <w:highlight w:val="none"/>
          <w:u w:val="none"/>
        </w:rPr>
        <w:t>复</w:t>
      </w:r>
    </w:p>
    <w:p>
      <w:pPr>
        <w:keepNext w:val="0"/>
        <w:keepLines w:val="0"/>
        <w:pageBreakBefore w:val="0"/>
        <w:widowControl/>
        <w:kinsoku/>
        <w:wordWrap/>
        <w:overflowPunct/>
        <w:topLinePunct w:val="0"/>
        <w:bidi w:val="0"/>
        <w:adjustRightInd/>
        <w:snapToGrid/>
        <w:spacing w:line="600" w:lineRule="exact"/>
        <w:jc w:val="center"/>
        <w:textAlignment w:val="baseline"/>
        <w:rPr>
          <w:rFonts w:hint="eastAsia" w:ascii="Times New Roman" w:hAnsi="Times New Roman" w:eastAsia="宋体" w:cs="Times New Roman"/>
          <w:b/>
          <w:color w:val="auto"/>
          <w:sz w:val="32"/>
          <w:szCs w:val="32"/>
          <w:highlight w:val="none"/>
          <w:u w:val="none"/>
        </w:rPr>
      </w:pPr>
      <w:bookmarkStart w:id="0" w:name="_GoBack"/>
      <w:bookmarkEnd w:id="0"/>
    </w:p>
    <w:p>
      <w:pPr>
        <w:keepNext w:val="0"/>
        <w:keepLines w:val="0"/>
        <w:pageBreakBefore w:val="0"/>
        <w:widowControl/>
        <w:tabs>
          <w:tab w:val="left" w:pos="5568"/>
        </w:tabs>
        <w:kinsoku/>
        <w:wordWrap/>
        <w:overflowPunct/>
        <w:topLinePunct w:val="0"/>
        <w:bidi w:val="0"/>
        <w:adjustRightInd/>
        <w:snapToGrid/>
        <w:spacing w:line="600" w:lineRule="exact"/>
        <w:jc w:val="left"/>
        <w:textAlignment w:val="baseline"/>
        <w:rPr>
          <w:rFonts w:hint="eastAsia"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rPr>
        <w:t>广州市人民政府：</w:t>
      </w:r>
      <w:r>
        <w:rPr>
          <w:rFonts w:hint="eastAsia" w:ascii="Times New Roman" w:hAnsi="Times New Roman" w:eastAsia="仿宋_GB2312" w:cs="Times New Roman"/>
          <w:color w:val="auto"/>
          <w:sz w:val="32"/>
          <w:szCs w:val="32"/>
          <w:highlight w:val="none"/>
          <w:u w:val="none"/>
          <w:lang w:eastAsia="zh-CN"/>
        </w:rPr>
        <w:tab/>
      </w:r>
    </w:p>
    <w:p>
      <w:pPr>
        <w:keepNext w:val="0"/>
        <w:keepLines w:val="0"/>
        <w:pageBreakBefore w:val="0"/>
        <w:widowControl/>
        <w:kinsoku/>
        <w:wordWrap/>
        <w:overflowPunct/>
        <w:topLinePunct w:val="0"/>
        <w:bidi w:val="0"/>
        <w:adjustRightInd/>
        <w:snapToGrid/>
        <w:spacing w:line="600" w:lineRule="exact"/>
        <w:ind w:firstLine="645"/>
        <w:textAlignment w:val="baseline"/>
        <w:rPr>
          <w:rFonts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eastAsia="zh-CN"/>
        </w:rPr>
        <w:t>你市关于申请广州市番禺区202</w:t>
      </w:r>
      <w:r>
        <w:rPr>
          <w:rFonts w:hint="eastAsia" w:ascii="Times New Roman" w:hAnsi="Times New Roman" w:eastAsia="仿宋_GB2312" w:cs="Times New Roman"/>
          <w:color w:val="auto"/>
          <w:sz w:val="32"/>
          <w:szCs w:val="32"/>
          <w:highlight w:val="none"/>
          <w:u w:val="none"/>
          <w:lang w:val="en-US" w:eastAsia="zh-CN"/>
        </w:rPr>
        <w:t>4</w:t>
      </w:r>
      <w:r>
        <w:rPr>
          <w:rFonts w:hint="eastAsia" w:ascii="Times New Roman" w:hAnsi="Times New Roman" w:eastAsia="仿宋_GB2312" w:cs="Times New Roman"/>
          <w:color w:val="auto"/>
          <w:sz w:val="32"/>
          <w:szCs w:val="32"/>
          <w:highlight w:val="none"/>
          <w:u w:val="none"/>
          <w:lang w:eastAsia="zh-CN"/>
        </w:rPr>
        <w:t>年度第六十八批次城镇建设用地</w:t>
      </w:r>
      <w:r>
        <w:rPr>
          <w:rFonts w:hint="eastAsia" w:ascii="Times New Roman" w:hAnsi="Times New Roman" w:eastAsia="仿宋_GB2312" w:cs="Times New Roman"/>
          <w:color w:val="auto"/>
          <w:sz w:val="32"/>
          <w:szCs w:val="32"/>
          <w:highlight w:val="none"/>
          <w:u w:val="none"/>
          <w:lang w:val="en-US" w:eastAsia="zh-CN"/>
        </w:rPr>
        <w:t>土地征收的请示收悉</w:t>
      </w:r>
      <w:r>
        <w:rPr>
          <w:rFonts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lang w:eastAsia="zh-CN"/>
        </w:rPr>
        <w:t>现</w:t>
      </w:r>
      <w:r>
        <w:rPr>
          <w:rFonts w:ascii="Times New Roman" w:hAnsi="Times New Roman" w:eastAsia="仿宋_GB2312" w:cs="Times New Roman"/>
          <w:color w:val="auto"/>
          <w:sz w:val="32"/>
          <w:szCs w:val="32"/>
          <w:highlight w:val="none"/>
          <w:u w:val="none"/>
        </w:rPr>
        <w:t>批复如下：</w:t>
      </w:r>
    </w:p>
    <w:p>
      <w:pPr>
        <w:pStyle w:val="5"/>
        <w:widowControl w:val="0"/>
        <w:autoSpaceDE w:val="0"/>
        <w:autoSpaceDN w:val="0"/>
        <w:spacing w:line="580" w:lineRule="exact"/>
        <w:ind w:firstLine="640" w:firstLineChars="200"/>
        <w:textAlignment w:val="auto"/>
        <w:rPr>
          <w:rFonts w:eastAsia="仿宋_GB2312"/>
          <w:color w:val="000000"/>
          <w:sz w:val="32"/>
          <w:szCs w:val="32"/>
        </w:rPr>
      </w:pPr>
      <w:r>
        <w:rPr>
          <w:rFonts w:hint="eastAsia" w:eastAsia="仿宋_GB2312" w:cs="Times New Roman"/>
          <w:color w:val="auto"/>
          <w:kern w:val="0"/>
          <w:sz w:val="32"/>
          <w:szCs w:val="32"/>
          <w:highlight w:val="none"/>
          <w:lang w:val="en-US" w:eastAsia="zh-CN" w:bidi="ar"/>
        </w:rPr>
        <w:t>一、</w:t>
      </w:r>
      <w:r>
        <w:rPr>
          <w:rFonts w:hint="default" w:ascii="Times New Roman" w:hAnsi="Times New Roman" w:eastAsia="仿宋_GB2312" w:cs="Times New Roman"/>
          <w:color w:val="auto"/>
          <w:kern w:val="0"/>
          <w:sz w:val="32"/>
          <w:szCs w:val="32"/>
          <w:highlight w:val="none"/>
          <w:lang w:val="en-US" w:eastAsia="zh-CN" w:bidi="ar"/>
        </w:rPr>
        <w:t>同意使用</w:t>
      </w:r>
      <w:r>
        <w:rPr>
          <w:rFonts w:hint="eastAsia" w:ascii="Times New Roman" w:hAnsi="Times New Roman" w:eastAsia="仿宋_GB2312" w:cs="Times New Roman"/>
          <w:color w:val="auto"/>
          <w:kern w:val="0"/>
          <w:sz w:val="32"/>
          <w:szCs w:val="32"/>
          <w:highlight w:val="none"/>
          <w:lang w:val="en-US" w:eastAsia="zh-CN" w:bidi="ar"/>
        </w:rPr>
        <w:t>0.0051</w:t>
      </w:r>
      <w:r>
        <w:rPr>
          <w:rFonts w:hint="default" w:ascii="Times New Roman" w:hAnsi="Times New Roman" w:eastAsia="仿宋_GB2312" w:cs="Times New Roman"/>
          <w:color w:val="auto"/>
          <w:kern w:val="0"/>
          <w:sz w:val="32"/>
          <w:szCs w:val="32"/>
          <w:highlight w:val="none"/>
          <w:lang w:val="en-US" w:eastAsia="zh-CN" w:bidi="ar"/>
        </w:rPr>
        <w:t>公顷城镇建设用地，即同意你市将</w:t>
      </w:r>
      <w:r>
        <w:rPr>
          <w:rFonts w:hint="eastAsia" w:ascii="Times New Roman" w:hAnsi="Times New Roman" w:eastAsia="仿宋_GB2312" w:cs="Times New Roman"/>
          <w:color w:val="auto"/>
          <w:kern w:val="0"/>
          <w:sz w:val="32"/>
          <w:szCs w:val="32"/>
          <w:highlight w:val="none"/>
          <w:lang w:val="en-US" w:eastAsia="zh-CN" w:bidi="ar"/>
        </w:rPr>
        <w:t>番禺</w:t>
      </w:r>
      <w:r>
        <w:rPr>
          <w:rFonts w:hint="default" w:ascii="Times New Roman" w:hAnsi="Times New Roman" w:eastAsia="仿宋_GB2312" w:cs="Times New Roman"/>
          <w:color w:val="auto"/>
          <w:kern w:val="0"/>
          <w:sz w:val="32"/>
          <w:szCs w:val="32"/>
          <w:highlight w:val="none"/>
          <w:lang w:val="en-US" w:eastAsia="zh-CN" w:bidi="ar"/>
        </w:rPr>
        <w:t>区</w:t>
      </w:r>
      <w:r>
        <w:rPr>
          <w:rFonts w:hint="eastAsia" w:ascii="Times New Roman" w:hAnsi="Times New Roman" w:eastAsia="仿宋_GB2312" w:cs="Times New Roman"/>
          <w:color w:val="auto"/>
          <w:kern w:val="0"/>
          <w:sz w:val="32"/>
          <w:szCs w:val="32"/>
          <w:highlight w:val="none"/>
          <w:lang w:val="en-US" w:eastAsia="zh-CN" w:bidi="ar"/>
        </w:rPr>
        <w:t>钟村</w:t>
      </w:r>
      <w:r>
        <w:rPr>
          <w:rFonts w:hint="eastAsia" w:ascii="Times New Roman" w:hAnsi="Times New Roman" w:eastAsia="仿宋_GB2312" w:cs="Times New Roman"/>
          <w:color w:val="auto"/>
          <w:sz w:val="32"/>
          <w:szCs w:val="32"/>
          <w:lang w:eastAsia="zh-CN"/>
        </w:rPr>
        <w:t>街汉溪村股份合作经济社</w:t>
      </w:r>
      <w:r>
        <w:rPr>
          <w:rFonts w:hint="default" w:ascii="Times New Roman" w:hAnsi="Times New Roman" w:eastAsia="仿宋_GB2312" w:cs="Times New Roman"/>
          <w:color w:val="auto"/>
          <w:kern w:val="0"/>
          <w:sz w:val="32"/>
          <w:szCs w:val="32"/>
          <w:highlight w:val="none"/>
          <w:lang w:val="en-US" w:eastAsia="zh-CN" w:bidi="ar"/>
        </w:rPr>
        <w:t>属下的</w:t>
      </w:r>
      <w:r>
        <w:rPr>
          <w:rFonts w:ascii="Times New Roman" w:hAnsi="Times New Roman" w:eastAsia="仿宋_GB2312" w:cs="Times New Roman"/>
          <w:color w:val="auto"/>
          <w:sz w:val="32"/>
          <w:szCs w:val="32"/>
          <w:highlight w:val="none"/>
          <w:u w:val="none"/>
        </w:rPr>
        <w:t>集体农用地</w:t>
      </w:r>
      <w:r>
        <w:rPr>
          <w:rFonts w:hint="eastAsia" w:ascii="Times New Roman" w:hAnsi="Times New Roman" w:eastAsia="仿宋_GB2312" w:cs="Times New Roman"/>
          <w:color w:val="auto"/>
          <w:sz w:val="32"/>
          <w:szCs w:val="32"/>
          <w:highlight w:val="none"/>
          <w:u w:val="none"/>
          <w:lang w:val="en-US" w:eastAsia="zh-CN"/>
        </w:rPr>
        <w:t>0.0043</w:t>
      </w:r>
      <w:r>
        <w:rPr>
          <w:rFonts w:ascii="Times New Roman" w:hAnsi="Times New Roman" w:eastAsia="仿宋_GB2312" w:cs="Times New Roman"/>
          <w:color w:val="auto"/>
          <w:sz w:val="32"/>
          <w:szCs w:val="32"/>
          <w:highlight w:val="none"/>
          <w:u w:val="none"/>
        </w:rPr>
        <w:t>公顷（</w:t>
      </w:r>
      <w:r>
        <w:rPr>
          <w:rFonts w:hint="eastAsia" w:ascii="Times New Roman" w:hAnsi="Times New Roman" w:eastAsia="仿宋_GB2312" w:cs="Times New Roman"/>
          <w:color w:val="auto"/>
          <w:sz w:val="32"/>
          <w:szCs w:val="32"/>
          <w:highlight w:val="none"/>
          <w:u w:val="none"/>
          <w:lang w:eastAsia="zh-CN"/>
        </w:rPr>
        <w:t>其中</w:t>
      </w:r>
      <w:r>
        <w:rPr>
          <w:rFonts w:ascii="Times New Roman" w:hAnsi="Times New Roman" w:eastAsia="仿宋_GB2312" w:cs="Times New Roman"/>
          <w:color w:val="auto"/>
          <w:sz w:val="32"/>
          <w:szCs w:val="32"/>
          <w:highlight w:val="none"/>
          <w:u w:val="none"/>
        </w:rPr>
        <w:t>耕地</w:t>
      </w:r>
      <w:r>
        <w:rPr>
          <w:rFonts w:hint="eastAsia" w:ascii="Times New Roman" w:hAnsi="Times New Roman" w:eastAsia="仿宋_GB2312" w:cs="Times New Roman"/>
          <w:color w:val="auto"/>
          <w:sz w:val="32"/>
          <w:szCs w:val="32"/>
          <w:highlight w:val="none"/>
          <w:u w:val="none"/>
          <w:lang w:val="en-US" w:eastAsia="zh-CN"/>
        </w:rPr>
        <w:t>0.0043</w:t>
      </w:r>
      <w:r>
        <w:rPr>
          <w:rFonts w:ascii="Times New Roman" w:hAnsi="Times New Roman" w:eastAsia="仿宋_GB2312" w:cs="Times New Roman"/>
          <w:color w:val="auto"/>
          <w:sz w:val="32"/>
          <w:szCs w:val="32"/>
          <w:highlight w:val="none"/>
          <w:u w:val="none"/>
        </w:rPr>
        <w:t>公顷</w:t>
      </w:r>
      <w:r>
        <w:rPr>
          <w:rFonts w:eastAsia="仿宋_GB2312"/>
          <w:color w:val="auto"/>
          <w:sz w:val="32"/>
          <w:szCs w:val="32"/>
          <w:highlight w:val="none"/>
          <w:u w:val="none"/>
        </w:rPr>
        <w:t>）转为建设用地，</w:t>
      </w:r>
      <w:r>
        <w:rPr>
          <w:rFonts w:ascii="Times New Roman" w:hAnsi="Times New Roman" w:eastAsia="仿宋_GB2312" w:cs="Times New Roman"/>
          <w:color w:val="auto"/>
          <w:sz w:val="32"/>
          <w:szCs w:val="32"/>
          <w:u w:val="none"/>
        </w:rPr>
        <w:t>以上</w:t>
      </w:r>
      <w:r>
        <w:rPr>
          <w:rFonts w:hint="eastAsia" w:ascii="Times New Roman" w:hAnsi="Times New Roman" w:eastAsia="仿宋_GB2312" w:cs="Times New Roman"/>
          <w:color w:val="auto"/>
          <w:kern w:val="0"/>
          <w:sz w:val="32"/>
          <w:szCs w:val="32"/>
          <w:highlight w:val="none"/>
          <w:lang w:val="en-US" w:eastAsia="zh-CN" w:bidi="ar"/>
        </w:rPr>
        <w:t>0.0043</w:t>
      </w:r>
      <w:r>
        <w:rPr>
          <w:rFonts w:ascii="Times New Roman" w:hAnsi="Times New Roman" w:eastAsia="仿宋_GB2312" w:cs="Times New Roman"/>
          <w:color w:val="auto"/>
          <w:sz w:val="32"/>
          <w:szCs w:val="32"/>
          <w:highlight w:val="none"/>
          <w:u w:val="none"/>
        </w:rPr>
        <w:t>公顷集体土地一并办理</w:t>
      </w:r>
      <w:r>
        <w:rPr>
          <w:rFonts w:hint="eastAsia" w:ascii="Times New Roman" w:hAnsi="Times New Roman" w:eastAsia="仿宋_GB2312" w:cs="Times New Roman"/>
          <w:color w:val="auto"/>
          <w:sz w:val="32"/>
          <w:szCs w:val="32"/>
          <w:highlight w:val="none"/>
          <w:u w:val="none"/>
          <w:lang w:eastAsia="zh-CN"/>
        </w:rPr>
        <w:t>征地</w:t>
      </w:r>
      <w:r>
        <w:rPr>
          <w:rFonts w:ascii="Times New Roman" w:hAnsi="Times New Roman" w:eastAsia="仿宋_GB2312" w:cs="Times New Roman"/>
          <w:color w:val="auto"/>
          <w:sz w:val="32"/>
          <w:szCs w:val="32"/>
          <w:highlight w:val="none"/>
          <w:u w:val="none"/>
        </w:rPr>
        <w:t>手续</w:t>
      </w:r>
      <w:r>
        <w:rPr>
          <w:rFonts w:hint="eastAsia" w:ascii="Times New Roman" w:hAnsi="Times New Roman" w:eastAsia="仿宋_GB2312" w:cs="Times New Roman"/>
          <w:color w:val="auto"/>
          <w:sz w:val="32"/>
          <w:szCs w:val="32"/>
          <w:highlight w:val="none"/>
          <w:u w:val="none"/>
          <w:lang w:eastAsia="zh-CN"/>
        </w:rPr>
        <w:t>；</w:t>
      </w:r>
      <w:r>
        <w:rPr>
          <w:rFonts w:ascii="Times New Roman" w:hAnsi="Times New Roman" w:eastAsia="仿宋_GB2312" w:cs="Times New Roman"/>
          <w:color w:val="auto"/>
          <w:sz w:val="32"/>
          <w:szCs w:val="32"/>
        </w:rPr>
        <w:t>另同意你市将</w:t>
      </w:r>
      <w:r>
        <w:rPr>
          <w:rFonts w:hint="eastAsia" w:ascii="Times New Roman" w:hAnsi="Times New Roman" w:eastAsia="仿宋_GB2312" w:cs="Times New Roman"/>
          <w:color w:val="auto"/>
          <w:sz w:val="32"/>
          <w:szCs w:val="32"/>
          <w:lang w:eastAsia="zh-CN"/>
        </w:rPr>
        <w:t>番禺区人民政府</w:t>
      </w:r>
      <w:r>
        <w:rPr>
          <w:rFonts w:ascii="Times New Roman" w:hAnsi="Times New Roman" w:eastAsia="仿宋_GB2312" w:cs="Times New Roman"/>
          <w:color w:val="auto"/>
          <w:sz w:val="32"/>
          <w:szCs w:val="32"/>
          <w:highlight w:val="none"/>
        </w:rPr>
        <w:t>属下</w:t>
      </w:r>
      <w:r>
        <w:rPr>
          <w:rFonts w:ascii="Times New Roman" w:hAnsi="Times New Roman" w:eastAsia="仿宋_GB2312" w:cs="Times New Roman"/>
          <w:color w:val="auto"/>
          <w:sz w:val="32"/>
          <w:szCs w:val="32"/>
        </w:rPr>
        <w:t>的国有农用地</w:t>
      </w:r>
      <w:r>
        <w:rPr>
          <w:rFonts w:hint="eastAsia" w:ascii="Times New Roman" w:hAnsi="Times New Roman" w:eastAsia="仿宋_GB2312" w:cs="Times New Roman"/>
          <w:color w:val="auto"/>
          <w:sz w:val="32"/>
          <w:szCs w:val="32"/>
          <w:lang w:val="en-US" w:eastAsia="zh-CN"/>
        </w:rPr>
        <w:t>0.0008</w:t>
      </w:r>
      <w:r>
        <w:rPr>
          <w:rFonts w:ascii="Times New Roman" w:hAnsi="Times New Roman" w:eastAsia="仿宋_GB2312" w:cs="Times New Roman"/>
          <w:color w:val="auto"/>
          <w:sz w:val="32"/>
          <w:szCs w:val="32"/>
        </w:rPr>
        <w:t>公顷（</w:t>
      </w:r>
      <w:r>
        <w:rPr>
          <w:rFonts w:hint="eastAsia" w:eastAsia="仿宋_GB2312" w:cs="Times New Roman"/>
          <w:color w:val="auto"/>
          <w:sz w:val="32"/>
          <w:szCs w:val="32"/>
          <w:lang w:eastAsia="zh-CN"/>
        </w:rPr>
        <w:t>其中</w:t>
      </w:r>
      <w:r>
        <w:rPr>
          <w:rFonts w:ascii="Times New Roman" w:hAnsi="Times New Roman" w:eastAsia="仿宋_GB2312" w:cs="Times New Roman"/>
          <w:color w:val="auto"/>
          <w:sz w:val="32"/>
          <w:szCs w:val="32"/>
        </w:rPr>
        <w:t>耕地</w:t>
      </w:r>
      <w:r>
        <w:rPr>
          <w:rFonts w:hint="eastAsia" w:ascii="Times New Roman" w:hAnsi="Times New Roman" w:eastAsia="仿宋_GB2312" w:cs="Times New Roman"/>
          <w:color w:val="auto"/>
          <w:sz w:val="32"/>
          <w:szCs w:val="32"/>
          <w:lang w:val="en-US" w:eastAsia="zh-CN"/>
        </w:rPr>
        <w:t>0.0008</w:t>
      </w:r>
      <w:r>
        <w:rPr>
          <w:rFonts w:ascii="Times New Roman" w:hAnsi="Times New Roman" w:eastAsia="仿宋_GB2312" w:cs="Times New Roman"/>
          <w:color w:val="auto"/>
          <w:sz w:val="32"/>
          <w:szCs w:val="32"/>
        </w:rPr>
        <w:t>公顷）转为建设用地</w:t>
      </w:r>
      <w:r>
        <w:rPr>
          <w:rFonts w:hint="eastAsia" w:eastAsia="仿宋_GB2312" w:cs="Times New Roman"/>
          <w:color w:val="auto"/>
          <w:sz w:val="32"/>
          <w:szCs w:val="32"/>
          <w:lang w:eastAsia="zh-CN"/>
        </w:rPr>
        <w:t>。</w:t>
      </w:r>
      <w:r>
        <w:rPr>
          <w:rFonts w:eastAsia="仿宋_GB2312"/>
          <w:color w:val="auto"/>
          <w:sz w:val="32"/>
          <w:szCs w:val="32"/>
          <w:highlight w:val="none"/>
          <w:u w:val="none"/>
        </w:rPr>
        <w:t>上述</w:t>
      </w:r>
      <w:r>
        <w:rPr>
          <w:rFonts w:hint="eastAsia" w:eastAsia="仿宋_GB2312"/>
          <w:color w:val="auto"/>
          <w:sz w:val="32"/>
          <w:szCs w:val="32"/>
          <w:highlight w:val="none"/>
          <w:u w:val="none"/>
          <w:lang w:eastAsia="zh-CN"/>
        </w:rPr>
        <w:t>批准建设用地</w:t>
      </w:r>
      <w:r>
        <w:rPr>
          <w:rFonts w:hint="eastAsia" w:eastAsia="仿宋_GB2312"/>
          <w:color w:val="auto"/>
          <w:sz w:val="32"/>
          <w:szCs w:val="32"/>
          <w:highlight w:val="none"/>
          <w:u w:val="none"/>
          <w:lang w:val="en-US" w:eastAsia="zh-CN"/>
        </w:rPr>
        <w:t>0.0051</w:t>
      </w:r>
      <w:r>
        <w:rPr>
          <w:rFonts w:eastAsia="仿宋_GB2312"/>
          <w:color w:val="auto"/>
          <w:sz w:val="32"/>
          <w:szCs w:val="32"/>
          <w:highlight w:val="none"/>
          <w:u w:val="none"/>
        </w:rPr>
        <w:t>公顷</w:t>
      </w:r>
      <w:r>
        <w:rPr>
          <w:rFonts w:hint="default" w:ascii="Times New Roman" w:hAnsi="Times New Roman" w:eastAsia="仿宋_GB2312" w:cs="Times New Roman"/>
          <w:sz w:val="32"/>
          <w:szCs w:val="32"/>
          <w:lang w:val="en-US" w:eastAsia="zh-CN"/>
        </w:rPr>
        <w:t>由</w:t>
      </w:r>
      <w:r>
        <w:rPr>
          <w:rFonts w:hint="default" w:ascii="Times New Roman" w:hAnsi="Times New Roman" w:eastAsia="仿宋_GB2312" w:cs="Times New Roman"/>
          <w:color w:val="000000"/>
          <w:kern w:val="0"/>
          <w:sz w:val="32"/>
          <w:szCs w:val="32"/>
          <w:u w:val="none"/>
          <w:lang w:val="en-US" w:eastAsia="zh-CN" w:bidi="ar"/>
        </w:rPr>
        <w:t>当地人民政府</w:t>
      </w:r>
      <w:r>
        <w:rPr>
          <w:rFonts w:hint="eastAsia" w:eastAsia="仿宋_GB2312" w:cs="Times New Roman"/>
          <w:color w:val="000000"/>
          <w:kern w:val="0"/>
          <w:sz w:val="32"/>
          <w:szCs w:val="32"/>
          <w:u w:val="none"/>
          <w:lang w:val="en-US" w:eastAsia="zh-CN" w:bidi="ar"/>
        </w:rPr>
        <w:t>依法依规</w:t>
      </w:r>
      <w:r>
        <w:rPr>
          <w:rFonts w:hint="default" w:ascii="Times New Roman" w:hAnsi="Times New Roman" w:eastAsia="仿宋_GB2312" w:cs="Times New Roman"/>
          <w:color w:val="000000"/>
          <w:kern w:val="0"/>
          <w:sz w:val="32"/>
          <w:szCs w:val="32"/>
          <w:u w:val="none"/>
          <w:lang w:val="en-US" w:eastAsia="zh-CN" w:bidi="ar"/>
        </w:rPr>
        <w:t>供应</w:t>
      </w:r>
      <w:r>
        <w:rPr>
          <w:rFonts w:eastAsia="仿宋_GB2312"/>
          <w:color w:val="000000"/>
          <w:sz w:val="32"/>
          <w:szCs w:val="32"/>
        </w:rPr>
        <w:t>。</w:t>
      </w:r>
    </w:p>
    <w:p>
      <w:pPr>
        <w:keepNext w:val="0"/>
        <w:keepLines w:val="0"/>
        <w:pageBreakBefore w:val="0"/>
        <w:widowControl/>
        <w:numPr>
          <w:ilvl w:val="0"/>
          <w:numId w:val="0"/>
        </w:numPr>
        <w:kinsoku/>
        <w:wordWrap/>
        <w:overflowPunct/>
        <w:topLinePunct w:val="0"/>
        <w:bidi w:val="0"/>
        <w:adjustRightInd/>
        <w:snapToGrid/>
        <w:spacing w:line="600" w:lineRule="exact"/>
        <w:ind w:left="645" w:leftChars="0"/>
        <w:textAlignment w:val="baseline"/>
        <w:rPr>
          <w:rFonts w:hint="eastAsia" w:eastAsia="仿宋_GB2312"/>
          <w:color w:val="auto"/>
          <w:sz w:val="32"/>
          <w:szCs w:val="32"/>
        </w:rPr>
      </w:pPr>
      <w:r>
        <w:rPr>
          <w:rFonts w:hint="eastAsia" w:ascii="Times New Roman" w:hAnsi="Times New Roman" w:eastAsia="仿宋_GB2312" w:cs="Times New Roman"/>
          <w:color w:val="auto"/>
          <w:kern w:val="0"/>
          <w:sz w:val="32"/>
          <w:szCs w:val="32"/>
          <w:lang w:val="en-US" w:eastAsia="zh-CN" w:bidi="ar"/>
        </w:rPr>
        <w:t>二、</w:t>
      </w:r>
      <w:r>
        <w:rPr>
          <w:rFonts w:hint="default" w:ascii="Times New Roman" w:hAnsi="Times New Roman" w:eastAsia="仿宋_GB2312" w:cs="Times New Roman"/>
          <w:color w:val="auto"/>
          <w:kern w:val="0"/>
          <w:sz w:val="32"/>
          <w:szCs w:val="32"/>
          <w:lang w:val="en-US" w:eastAsia="zh-CN" w:bidi="ar"/>
        </w:rPr>
        <w:t>请你</w:t>
      </w:r>
      <w:r>
        <w:rPr>
          <w:rFonts w:hint="default" w:ascii="Times New Roman" w:hAnsi="Times New Roman" w:eastAsia="仿宋_GB2312" w:cs="Times New Roman"/>
          <w:color w:val="auto"/>
          <w:kern w:val="0"/>
          <w:sz w:val="32"/>
          <w:szCs w:val="32"/>
          <w:lang w:eastAsia="zh-CN" w:bidi="ar"/>
        </w:rPr>
        <w:t>市人民</w:t>
      </w:r>
      <w:r>
        <w:rPr>
          <w:rFonts w:hint="default" w:ascii="Times New Roman" w:hAnsi="Times New Roman" w:eastAsia="仿宋_GB2312" w:cs="Times New Roman"/>
          <w:color w:val="auto"/>
          <w:kern w:val="0"/>
          <w:sz w:val="32"/>
          <w:szCs w:val="32"/>
          <w:lang w:val="en-US" w:eastAsia="zh-CN" w:bidi="ar"/>
        </w:rPr>
        <w:t>政府负责落实补充耕地</w:t>
      </w:r>
      <w:r>
        <w:rPr>
          <w:rFonts w:eastAsia="仿宋_GB2312"/>
          <w:color w:val="auto"/>
          <w:sz w:val="32"/>
          <w:szCs w:val="32"/>
        </w:rPr>
        <w:t>。</w:t>
      </w:r>
      <w:r>
        <w:rPr>
          <w:rFonts w:hint="eastAsia" w:eastAsia="仿宋_GB2312"/>
          <w:color w:val="auto"/>
          <w:sz w:val="32"/>
          <w:szCs w:val="32"/>
        </w:rPr>
        <w:t>督促补充耕地责任</w:t>
      </w:r>
    </w:p>
    <w:p>
      <w:pPr>
        <w:keepNext w:val="0"/>
        <w:keepLines w:val="0"/>
        <w:pageBreakBefore w:val="0"/>
        <w:widowControl/>
        <w:numPr>
          <w:ilvl w:val="0"/>
          <w:numId w:val="0"/>
        </w:numPr>
        <w:kinsoku/>
        <w:wordWrap/>
        <w:overflowPunct/>
        <w:topLinePunct w:val="0"/>
        <w:bidi w:val="0"/>
        <w:adjustRightInd/>
        <w:snapToGrid/>
        <w:spacing w:line="600" w:lineRule="exact"/>
        <w:textAlignment w:val="baseline"/>
        <w:rPr>
          <w:rFonts w:hint="eastAsia" w:eastAsia="仿宋_GB2312"/>
          <w:color w:val="auto"/>
          <w:sz w:val="32"/>
          <w:szCs w:val="32"/>
          <w:lang w:eastAsia="zh-CN"/>
        </w:rPr>
      </w:pPr>
      <w:r>
        <w:rPr>
          <w:rFonts w:hint="eastAsia" w:eastAsia="仿宋_GB2312"/>
          <w:color w:val="auto"/>
          <w:sz w:val="32"/>
          <w:szCs w:val="32"/>
        </w:rPr>
        <w:t>单位认真</w:t>
      </w:r>
      <w:r>
        <w:rPr>
          <w:rFonts w:hint="eastAsia" w:eastAsia="仿宋_GB2312"/>
          <w:color w:val="auto"/>
          <w:sz w:val="32"/>
          <w:szCs w:val="32"/>
          <w:lang w:eastAsia="zh-CN"/>
        </w:rPr>
        <w:t>落实耕地占补平衡</w:t>
      </w:r>
      <w:r>
        <w:rPr>
          <w:rFonts w:hint="eastAsia" w:eastAsia="仿宋_GB2312"/>
          <w:color w:val="auto"/>
          <w:sz w:val="32"/>
          <w:szCs w:val="32"/>
        </w:rPr>
        <w:t>，补充数量相等、质量相当的耕地，</w:t>
      </w:r>
      <w:r>
        <w:rPr>
          <w:rFonts w:eastAsia="仿宋_GB2312"/>
          <w:color w:val="auto"/>
          <w:sz w:val="32"/>
          <w:szCs w:val="32"/>
        </w:rPr>
        <w:t>对应核销耕地数量、水田规模（确认信息编号：</w:t>
      </w:r>
      <w:r>
        <w:rPr>
          <w:rFonts w:hint="default" w:ascii="Times New Roman" w:hAnsi="Times New Roman" w:cs="Times New Roman"/>
          <w:sz w:val="32"/>
          <w:szCs w:val="32"/>
          <w:highlight w:val="none"/>
          <w:lang w:val="en-US" w:eastAsia="zh-CN"/>
        </w:rPr>
        <w:t>440113202602030021</w:t>
      </w:r>
      <w:r>
        <w:rPr>
          <w:rFonts w:eastAsia="仿宋_GB2312"/>
          <w:color w:val="auto"/>
          <w:sz w:val="32"/>
          <w:szCs w:val="32"/>
        </w:rPr>
        <w:t>）</w:t>
      </w:r>
      <w:r>
        <w:rPr>
          <w:rFonts w:hint="eastAsia" w:eastAsia="仿宋_GB2312"/>
          <w:color w:val="auto"/>
          <w:sz w:val="32"/>
          <w:szCs w:val="32"/>
          <w:lang w:eastAsia="zh-CN"/>
        </w:rPr>
        <w:t>。</w:t>
      </w:r>
    </w:p>
    <w:p>
      <w:pPr>
        <w:keepNext w:val="0"/>
        <w:keepLines w:val="0"/>
        <w:pageBreakBefore w:val="0"/>
        <w:widowControl/>
        <w:numPr>
          <w:ilvl w:val="0"/>
          <w:numId w:val="1"/>
        </w:numPr>
        <w:kinsoku/>
        <w:wordWrap/>
        <w:overflowPunct/>
        <w:topLinePunct w:val="0"/>
        <w:bidi w:val="0"/>
        <w:adjustRightInd/>
        <w:snapToGrid/>
        <w:spacing w:line="600" w:lineRule="exact"/>
        <w:ind w:left="645" w:leftChars="0"/>
        <w:textAlignment w:val="baseline"/>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请你市人民政府按照《中华人民共和国土地管理法》有</w:t>
      </w:r>
    </w:p>
    <w:p>
      <w:pPr>
        <w:keepNext w:val="0"/>
        <w:keepLines w:val="0"/>
        <w:pageBreakBefore w:val="0"/>
        <w:widowControl/>
        <w:numPr>
          <w:ilvl w:val="0"/>
          <w:numId w:val="0"/>
        </w:numPr>
        <w:kinsoku/>
        <w:wordWrap/>
        <w:overflowPunct/>
        <w:topLinePunct w:val="0"/>
        <w:bidi w:val="0"/>
        <w:adjustRightInd/>
        <w:snapToGrid/>
        <w:spacing w:line="600" w:lineRule="exact"/>
        <w:textAlignment w:val="baseline"/>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0"/>
          <w:sz w:val="32"/>
          <w:szCs w:val="32"/>
          <w:highlight w:val="none"/>
          <w:lang w:val="en-US" w:eastAsia="zh-CN" w:bidi="ar"/>
        </w:rPr>
        <w:t>关规定，严格履行征地批后实施程序，及时足额支付补偿费用，安排被征地农民的社会保障费用，落实安置措施，妥善解决好被征地农民的生产和生活，保证原有生活水平不降低，长远生计有保障。征地补偿安置不落实的，不得动工用地</w:t>
      </w:r>
      <w:r>
        <w:rPr>
          <w:rFonts w:hint="eastAsia" w:ascii="Times New Roman" w:hAnsi="Times New Roman" w:eastAsia="仿宋_GB2312" w:cs="Times New Roman"/>
          <w:color w:val="auto"/>
          <w:kern w:val="0"/>
          <w:sz w:val="32"/>
          <w:szCs w:val="32"/>
          <w:highlight w:val="none"/>
          <w:lang w:val="en-US" w:eastAsia="zh-CN" w:bidi="ar"/>
        </w:rPr>
        <w:t>。</w:t>
      </w:r>
      <w:r>
        <w:rPr>
          <w:rFonts w:hint="eastAsia" w:ascii="Times New Roman" w:hAnsi="Times New Roman" w:eastAsia="仿宋_GB2312" w:cs="Times New Roman"/>
          <w:color w:val="auto"/>
          <w:sz w:val="32"/>
          <w:szCs w:val="32"/>
          <w:highlight w:val="none"/>
          <w:u w:val="none"/>
          <w:lang w:eastAsia="zh-CN"/>
        </w:rPr>
        <w:t>你市相关不动产登记机构依此办理集体土地所有权注销或变更登记。</w:t>
      </w:r>
    </w:p>
    <w:p>
      <w:pPr>
        <w:widowControl/>
        <w:spacing w:line="560" w:lineRule="exact"/>
        <w:ind w:firstLine="645"/>
        <w:textAlignment w:val="baseline"/>
        <w:rPr>
          <w:rFonts w:eastAsia="仿宋_GB2312"/>
          <w:b w:val="0"/>
          <w:color w:val="000000"/>
          <w:sz w:val="32"/>
          <w:szCs w:val="32"/>
        </w:rPr>
      </w:pPr>
      <w:r>
        <w:rPr>
          <w:rFonts w:eastAsia="仿宋_GB2312"/>
          <w:color w:val="000000"/>
          <w:sz w:val="32"/>
          <w:szCs w:val="32"/>
        </w:rPr>
        <w:t>四、</w:t>
      </w:r>
      <w:r>
        <w:rPr>
          <w:rFonts w:hint="default" w:ascii="Times New Roman" w:hAnsi="Times New Roman" w:eastAsia="仿宋_GB2312" w:cs="Times New Roman"/>
          <w:b w:val="0"/>
          <w:bCs w:val="0"/>
          <w:color w:val="000000"/>
          <w:kern w:val="0"/>
          <w:sz w:val="32"/>
          <w:szCs w:val="32"/>
          <w:lang w:eastAsia="zh-CN" w:bidi="ar"/>
        </w:rPr>
        <w:t>使用土地涉及</w:t>
      </w:r>
      <w:r>
        <w:rPr>
          <w:rFonts w:hint="eastAsia" w:ascii="Times New Roman" w:hAnsi="Times New Roman" w:eastAsia="仿宋_GB2312" w:cs="Times New Roman"/>
          <w:b w:val="0"/>
          <w:bCs w:val="0"/>
          <w:color w:val="000000"/>
          <w:kern w:val="0"/>
          <w:sz w:val="32"/>
          <w:szCs w:val="32"/>
          <w:lang w:eastAsia="zh-CN" w:bidi="ar"/>
        </w:rPr>
        <w:t>的耕地占用税等</w:t>
      </w:r>
      <w:r>
        <w:rPr>
          <w:rFonts w:hint="default" w:ascii="Times New Roman" w:hAnsi="Times New Roman" w:eastAsia="仿宋_GB2312" w:cs="Times New Roman"/>
          <w:b w:val="0"/>
          <w:bCs w:val="0"/>
          <w:color w:val="000000"/>
          <w:kern w:val="0"/>
          <w:sz w:val="32"/>
          <w:szCs w:val="32"/>
          <w:lang w:eastAsia="zh-CN" w:bidi="ar"/>
        </w:rPr>
        <w:t>有关税费请按规定办理</w:t>
      </w:r>
      <w:r>
        <w:rPr>
          <w:rFonts w:hint="default" w:ascii="Times New Roman" w:hAnsi="Times New Roman" w:eastAsia="仿宋_GB2312" w:cs="Times New Roman"/>
          <w:color w:val="000000"/>
          <w:kern w:val="0"/>
          <w:sz w:val="32"/>
          <w:szCs w:val="32"/>
          <w:highlight w:val="none"/>
          <w:lang w:val="en-US" w:eastAsia="zh-CN" w:bidi="ar"/>
        </w:rPr>
        <w:t>。</w:t>
      </w:r>
    </w:p>
    <w:p>
      <w:pPr>
        <w:keepNext w:val="0"/>
        <w:keepLines w:val="0"/>
        <w:pageBreakBefore w:val="0"/>
        <w:widowControl/>
        <w:kinsoku/>
        <w:wordWrap/>
        <w:overflowPunct/>
        <w:topLinePunct w:val="0"/>
        <w:bidi w:val="0"/>
        <w:adjustRightInd/>
        <w:snapToGrid/>
        <w:spacing w:line="600" w:lineRule="exact"/>
        <w:ind w:firstLine="645"/>
        <w:textAlignment w:val="baseline"/>
        <w:rPr>
          <w:rFonts w:ascii="Times New Roman" w:hAnsi="Times New Roman" w:eastAsia="仿宋_GB2312" w:cs="Times New Roman"/>
          <w:b w:val="0"/>
          <w:color w:val="auto"/>
          <w:sz w:val="32"/>
          <w:szCs w:val="32"/>
          <w:highlight w:val="none"/>
        </w:rPr>
      </w:pPr>
      <w:r>
        <w:rPr>
          <w:rFonts w:hint="eastAsia" w:ascii="Times New Roman" w:hAnsi="Times New Roman" w:eastAsia="仿宋_GB2312" w:cs="Times New Roman"/>
          <w:color w:val="auto"/>
          <w:sz w:val="32"/>
          <w:szCs w:val="32"/>
          <w:highlight w:val="none"/>
          <w:lang w:eastAsia="zh-CN"/>
        </w:rPr>
        <w:t>五</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u w:val="none"/>
        </w:rPr>
        <w:t>批后实施情况和</w:t>
      </w:r>
      <w:r>
        <w:rPr>
          <w:rFonts w:ascii="Times New Roman" w:hAnsi="Times New Roman" w:eastAsia="仿宋_GB2312" w:cs="Times New Roman"/>
          <w:color w:val="auto"/>
          <w:sz w:val="32"/>
          <w:szCs w:val="32"/>
          <w:highlight w:val="none"/>
        </w:rPr>
        <w:t>具体项目供地情况须按规定报备。</w:t>
      </w:r>
    </w:p>
    <w:p>
      <w:pPr>
        <w:keepNext w:val="0"/>
        <w:keepLines w:val="0"/>
        <w:pageBreakBefore w:val="0"/>
        <w:widowControl/>
        <w:kinsoku/>
        <w:wordWrap/>
        <w:overflowPunct/>
        <w:topLinePunct w:val="0"/>
        <w:bidi w:val="0"/>
        <w:adjustRightInd/>
        <w:snapToGrid/>
        <w:spacing w:line="600" w:lineRule="exact"/>
        <w:textAlignment w:val="baseline"/>
        <w:rPr>
          <w:rFonts w:ascii="Times New Roman" w:hAnsi="Times New Roman" w:eastAsia="仿宋_GB2312" w:cs="Times New Roman"/>
          <w:color w:val="auto"/>
          <w:sz w:val="32"/>
          <w:szCs w:val="32"/>
          <w:highlight w:val="none"/>
        </w:rPr>
      </w:pPr>
    </w:p>
    <w:p>
      <w:pPr>
        <w:keepNext w:val="0"/>
        <w:keepLines w:val="0"/>
        <w:pageBreakBefore w:val="0"/>
        <w:widowControl/>
        <w:kinsoku/>
        <w:wordWrap/>
        <w:overflowPunct/>
        <w:topLinePunct w:val="0"/>
        <w:bidi w:val="0"/>
        <w:adjustRightInd/>
        <w:snapToGrid/>
        <w:spacing w:line="600" w:lineRule="exact"/>
        <w:textAlignment w:val="baseline"/>
        <w:rPr>
          <w:rFonts w:ascii="Times New Roman" w:hAnsi="Times New Roman" w:eastAsia="仿宋_GB2312" w:cs="Times New Roman"/>
          <w:color w:val="auto"/>
          <w:sz w:val="32"/>
          <w:szCs w:val="32"/>
          <w:highlight w:val="none"/>
        </w:rPr>
      </w:pPr>
    </w:p>
    <w:p>
      <w:pPr>
        <w:keepNext w:val="0"/>
        <w:keepLines w:val="0"/>
        <w:pageBreakBefore w:val="0"/>
        <w:widowControl/>
        <w:kinsoku/>
        <w:wordWrap/>
        <w:overflowPunct/>
        <w:topLinePunct w:val="0"/>
        <w:bidi w:val="0"/>
        <w:adjustRightInd/>
        <w:snapToGrid/>
        <w:spacing w:line="600" w:lineRule="exact"/>
        <w:textAlignment w:val="baseline"/>
        <w:rPr>
          <w:rFonts w:ascii="Times New Roman" w:hAnsi="Times New Roman" w:eastAsia="仿宋_GB2312" w:cs="Times New Roman"/>
          <w:color w:val="auto"/>
          <w:sz w:val="32"/>
          <w:szCs w:val="32"/>
          <w:highlight w:val="none"/>
        </w:rPr>
      </w:pPr>
    </w:p>
    <w:p>
      <w:pPr>
        <w:keepNext w:val="0"/>
        <w:keepLines w:val="0"/>
        <w:pageBreakBefore w:val="0"/>
        <w:widowControl/>
        <w:kinsoku/>
        <w:wordWrap/>
        <w:overflowPunct/>
        <w:topLinePunct w:val="0"/>
        <w:bidi w:val="0"/>
        <w:adjustRightInd/>
        <w:snapToGrid/>
        <w:spacing w:line="600" w:lineRule="exact"/>
        <w:ind w:firstLine="645"/>
        <w:textAlignment w:val="baseline"/>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 xml:space="preserve">                               </w:t>
      </w:r>
      <w:r>
        <w:rPr>
          <w:rFonts w:ascii="Times New Roman" w:hAnsi="Times New Roman" w:eastAsia="仿宋_GB2312" w:cs="Times New Roman"/>
          <w:color w:val="auto"/>
          <w:sz w:val="32"/>
          <w:szCs w:val="32"/>
          <w:highlight w:val="none"/>
        </w:rPr>
        <w:t>广东省人民政府</w:t>
      </w:r>
    </w:p>
    <w:p>
      <w:pPr>
        <w:keepNext w:val="0"/>
        <w:keepLines w:val="0"/>
        <w:pageBreakBefore w:val="0"/>
        <w:widowControl/>
        <w:kinsoku/>
        <w:wordWrap/>
        <w:overflowPunct/>
        <w:topLinePunct w:val="0"/>
        <w:bidi w:val="0"/>
        <w:adjustRightInd/>
        <w:snapToGrid/>
        <w:spacing w:line="600" w:lineRule="exact"/>
        <w:ind w:firstLine="645"/>
        <w:jc w:val="center"/>
        <w:textAlignment w:val="baseline"/>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rPr>
        <w:t xml:space="preserve">   </w:t>
      </w:r>
      <w:r>
        <w:rPr>
          <w:rFonts w:hint="eastAsia" w:ascii="Times New Roman" w:hAnsi="Times New Roman" w:eastAsia="仿宋_GB2312" w:cs="Times New Roman"/>
          <w:color w:val="auto"/>
          <w:sz w:val="32"/>
          <w:szCs w:val="32"/>
          <w:highlight w:val="none"/>
          <w:lang w:val="en-US" w:eastAsia="zh-CN"/>
        </w:rPr>
        <w:t>2026</w:t>
      </w:r>
      <w:r>
        <w:rPr>
          <w:rFonts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rPr>
        <w:t xml:space="preserve"> </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 xml:space="preserve"> </w:t>
      </w:r>
      <w:r>
        <w:rPr>
          <w:rFonts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rPr>
        <w:t xml:space="preserve"> </w:t>
      </w:r>
      <w:r>
        <w:rPr>
          <w:rFonts w:hint="eastAsia" w:ascii="Times New Roman" w:hAnsi="Times New Roman" w:eastAsia="仿宋_GB2312" w:cs="Times New Roman"/>
          <w:color w:val="auto"/>
          <w:sz w:val="32"/>
          <w:szCs w:val="32"/>
          <w:highlight w:val="none"/>
          <w:lang w:val="en-US" w:eastAsia="zh-CN"/>
        </w:rPr>
        <w:t>11</w:t>
      </w:r>
      <w:r>
        <w:rPr>
          <w:rFonts w:hint="eastAsia" w:ascii="Times New Roman" w:hAnsi="Times New Roman" w:eastAsia="仿宋_GB2312" w:cs="Times New Roman"/>
          <w:color w:val="auto"/>
          <w:sz w:val="32"/>
          <w:szCs w:val="32"/>
          <w:highlight w:val="none"/>
          <w:lang w:val="en-US"/>
        </w:rPr>
        <w:t xml:space="preserve"> </w:t>
      </w:r>
      <w:r>
        <w:rPr>
          <w:rFonts w:ascii="Times New Roman" w:hAnsi="Times New Roman" w:eastAsia="仿宋_GB2312" w:cs="Times New Roman"/>
          <w:color w:val="auto"/>
          <w:sz w:val="32"/>
          <w:szCs w:val="32"/>
          <w:highlight w:val="none"/>
        </w:rPr>
        <w:t>日</w:t>
      </w:r>
    </w:p>
    <w:p>
      <w:pPr>
        <w:keepNext w:val="0"/>
        <w:keepLines w:val="0"/>
        <w:pageBreakBefore w:val="0"/>
        <w:widowControl/>
        <w:kinsoku/>
        <w:wordWrap/>
        <w:overflowPunct/>
        <w:topLinePunct w:val="0"/>
        <w:bidi w:val="0"/>
        <w:adjustRightInd/>
        <w:snapToGrid/>
        <w:spacing w:line="600" w:lineRule="exact"/>
        <w:textAlignment w:val="baseline"/>
        <w:rPr>
          <w:rFonts w:hint="eastAsia" w:ascii="Times New Roman" w:hAnsi="Times New Roman" w:eastAsia="仿宋_GB2312" w:cs="Times New Roman"/>
          <w:color w:val="auto"/>
          <w:sz w:val="32"/>
          <w:szCs w:val="32"/>
          <w:highlight w:val="none"/>
        </w:rPr>
      </w:pPr>
    </w:p>
    <w:p>
      <w:pPr>
        <w:spacing w:line="600" w:lineRule="exact"/>
        <w:rPr>
          <w:rFonts w:hint="eastAsia" w:ascii="Times New Roman" w:hAnsi="Times New Roman" w:eastAsia="黑体" w:cs="Times New Roman"/>
          <w:color w:val="auto"/>
          <w:sz w:val="32"/>
          <w:szCs w:val="32"/>
          <w:highlight w:val="none"/>
        </w:rPr>
      </w:pPr>
    </w:p>
    <w:p>
      <w:pPr>
        <w:spacing w:line="600" w:lineRule="exact"/>
        <w:rPr>
          <w:rFonts w:hint="eastAsia" w:ascii="Times New Roman" w:hAnsi="Times New Roman" w:eastAsia="黑体" w:cs="Times New Roman"/>
          <w:color w:val="auto"/>
          <w:sz w:val="32"/>
          <w:szCs w:val="32"/>
          <w:highlight w:val="none"/>
        </w:rPr>
      </w:pPr>
    </w:p>
    <w:p>
      <w:pPr>
        <w:spacing w:line="600" w:lineRule="exact"/>
        <w:rPr>
          <w:rFonts w:hint="eastAsia" w:ascii="Times New Roman" w:hAnsi="Times New Roman" w:eastAsia="黑体" w:cs="Times New Roman"/>
          <w:color w:val="auto"/>
          <w:sz w:val="32"/>
          <w:szCs w:val="32"/>
          <w:highlight w:val="none"/>
        </w:rPr>
      </w:pPr>
    </w:p>
    <w:p>
      <w:pPr>
        <w:spacing w:line="600" w:lineRule="exact"/>
        <w:rPr>
          <w:rFonts w:hint="eastAsia" w:ascii="Times New Roman" w:hAnsi="Times New Roman" w:eastAsia="黑体" w:cs="Times New Roman"/>
          <w:color w:val="auto"/>
          <w:sz w:val="32"/>
          <w:szCs w:val="32"/>
          <w:highlight w:val="none"/>
        </w:rPr>
      </w:pPr>
    </w:p>
    <w:p>
      <w:pPr>
        <w:spacing w:line="600" w:lineRule="exact"/>
        <w:rPr>
          <w:rFonts w:hint="eastAsia" w:ascii="Times New Roman" w:hAnsi="Times New Roman" w:eastAsia="黑体" w:cs="Times New Roman"/>
          <w:color w:val="auto"/>
          <w:sz w:val="32"/>
          <w:szCs w:val="32"/>
          <w:highlight w:val="none"/>
        </w:rPr>
      </w:pPr>
    </w:p>
    <w:p>
      <w:pPr>
        <w:spacing w:line="600" w:lineRule="exact"/>
        <w:rPr>
          <w:rFonts w:hint="eastAsia" w:ascii="Times New Roman" w:hAnsi="Times New Roman" w:eastAsia="黑体" w:cs="Times New Roman"/>
          <w:color w:val="auto"/>
          <w:sz w:val="32"/>
          <w:szCs w:val="32"/>
          <w:highlight w:val="none"/>
        </w:rPr>
      </w:pPr>
    </w:p>
    <w:p>
      <w:pPr>
        <w:spacing w:line="600" w:lineRule="exact"/>
        <w:rPr>
          <w:rFonts w:hint="eastAsia" w:ascii="Times New Roman" w:hAnsi="Times New Roman" w:eastAsia="黑体" w:cs="Times New Roman"/>
          <w:color w:val="auto"/>
          <w:sz w:val="32"/>
          <w:szCs w:val="32"/>
          <w:highlight w:val="none"/>
        </w:rPr>
      </w:pPr>
    </w:p>
    <w:p>
      <w:pPr>
        <w:spacing w:line="560" w:lineRule="exact"/>
        <w:ind w:left="947" w:leftChars="201" w:hanging="525" w:hangingChars="250"/>
      </w:pPr>
    </w:p>
    <w:sectPr>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B817C7"/>
    <w:multiLevelType w:val="singleLevel"/>
    <w:tmpl w:val="EEB817C7"/>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4NmJlMmE1NjMwOGJhZWZlNWU4ZWZmYjQxYzljYzcifQ=="/>
  </w:docVars>
  <w:rsids>
    <w:rsidRoot w:val="00000000"/>
    <w:rsid w:val="06150E56"/>
    <w:rsid w:val="06767895"/>
    <w:rsid w:val="098F4802"/>
    <w:rsid w:val="09F2308E"/>
    <w:rsid w:val="0D1A3491"/>
    <w:rsid w:val="16F72DAD"/>
    <w:rsid w:val="18163C17"/>
    <w:rsid w:val="1D971FD1"/>
    <w:rsid w:val="21880C70"/>
    <w:rsid w:val="26AD21BF"/>
    <w:rsid w:val="29A8080B"/>
    <w:rsid w:val="2EF827B9"/>
    <w:rsid w:val="30720CC0"/>
    <w:rsid w:val="31B4129B"/>
    <w:rsid w:val="3C8C7164"/>
    <w:rsid w:val="3DBD4233"/>
    <w:rsid w:val="4CF87F57"/>
    <w:rsid w:val="5110651A"/>
    <w:rsid w:val="53303CE8"/>
    <w:rsid w:val="57F93B84"/>
    <w:rsid w:val="60000F1F"/>
    <w:rsid w:val="645E737C"/>
    <w:rsid w:val="69BA4A57"/>
    <w:rsid w:val="69D63CC9"/>
    <w:rsid w:val="73592DC9"/>
    <w:rsid w:val="79B372D7"/>
    <w:rsid w:val="7A5577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imes New Roman"/>
      <w:b/>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jc w:val="both"/>
    </w:pPr>
    <w:rPr>
      <w:rFonts w:ascii="Times New Roman" w:hAnsi="Times New Roman" w:eastAsia="宋体" w:cs="Times New Roman"/>
      <w:kern w:val="2"/>
      <w:sz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626</Words>
  <Characters>694</Characters>
  <Lines>0</Lines>
  <Paragraphs>0</Paragraphs>
  <TotalTime>18</TotalTime>
  <ScaleCrop>false</ScaleCrop>
  <LinksUpToDate>false</LinksUpToDate>
  <CharactersWithSpaces>754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2026-04-16T06:02:00Z</dcterms:created>
  <dc:creator>qw</dc:creator>
  <cp:lastModifiedBy>石伟雄</cp:lastModifiedBy>
  <dcterms:modified xsi:type="dcterms:W3CDTF">2026-07-09T09:01:48Z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8D75EBC82770410DA473FBD83A544B01_12</vt:lpwstr>
  </property>
</Properties>
</file>