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A7CF5">
      <w:pPr>
        <w:keepNext w:val="0"/>
        <w:keepLines w:val="0"/>
        <w:pageBreakBefore w:val="0"/>
        <w:widowControl w:val="0"/>
        <w:kinsoku/>
        <w:wordWrap/>
        <w:overflowPunct/>
        <w:topLinePunct w:val="0"/>
        <w:autoSpaceDE/>
        <w:autoSpaceDN/>
        <w:bidi w:val="0"/>
        <w:adjustRightInd/>
        <w:snapToGrid/>
        <w:spacing w:before="0" w:line="560" w:lineRule="exact"/>
        <w:ind w:left="85" w:right="0" w:firstLine="0"/>
        <w:jc w:val="center"/>
        <w:textAlignment w:val="auto"/>
        <w:rPr>
          <w:rFonts w:hint="eastAsia" w:ascii="方正小标宋_GBK" w:hAnsi="方正小标宋_GBK" w:eastAsia="方正小标宋_GBK" w:cs="方正小标宋_GBK"/>
          <w:kern w:val="2"/>
          <w:sz w:val="44"/>
          <w:szCs w:val="44"/>
          <w:lang w:val="en-US" w:eastAsia="zh-CN"/>
        </w:rPr>
      </w:pPr>
      <w:r>
        <w:rPr>
          <w:rFonts w:hint="eastAsia" w:ascii="方正小标宋_GBK" w:hAnsi="方正小标宋_GBK" w:eastAsia="方正小标宋_GBK" w:cs="方正小标宋_GBK"/>
          <w:kern w:val="2"/>
          <w:sz w:val="44"/>
          <w:szCs w:val="44"/>
          <w:lang w:val="en-US" w:eastAsia="zh-CN"/>
        </w:rPr>
        <w:t>关于广州市花都区2026年度第四十批次城镇建设用地（秀全中学新校区周边道路工程</w:t>
      </w:r>
    </w:p>
    <w:p w14:paraId="0C5F99FA">
      <w:pPr>
        <w:keepNext w:val="0"/>
        <w:keepLines w:val="0"/>
        <w:pageBreakBefore w:val="0"/>
        <w:widowControl w:val="0"/>
        <w:kinsoku/>
        <w:wordWrap/>
        <w:overflowPunct/>
        <w:topLinePunct w:val="0"/>
        <w:autoSpaceDE/>
        <w:autoSpaceDN/>
        <w:bidi w:val="0"/>
        <w:adjustRightInd/>
        <w:snapToGrid/>
        <w:spacing w:before="0" w:line="560" w:lineRule="exact"/>
        <w:ind w:left="85" w:right="0" w:firstLine="0"/>
        <w:jc w:val="center"/>
        <w:textAlignment w:val="auto"/>
        <w:rPr>
          <w:rFonts w:hint="eastAsia" w:ascii="方正小标宋_GBK" w:hAnsi="方正小标宋_GBK" w:eastAsia="方正小标宋_GBK" w:cs="方正小标宋_GBK"/>
          <w:kern w:val="2"/>
          <w:sz w:val="44"/>
          <w:szCs w:val="44"/>
        </w:rPr>
      </w:pPr>
      <w:r>
        <w:rPr>
          <w:rFonts w:hint="eastAsia" w:ascii="仿宋" w:hAnsi="仿宋" w:eastAsia="仿宋" w:cs="仿宋"/>
          <w:kern w:val="2"/>
          <w:sz w:val="44"/>
          <w:szCs w:val="44"/>
          <w:lang w:val="en-US" w:eastAsia="zh-CN"/>
        </w:rPr>
        <w:t>〔</w:t>
      </w:r>
      <w:r>
        <w:rPr>
          <w:rFonts w:hint="eastAsia" w:ascii="方正小标宋_GBK" w:hAnsi="方正小标宋_GBK" w:eastAsia="方正小标宋_GBK" w:cs="方正小标宋_GBK"/>
          <w:kern w:val="2"/>
          <w:sz w:val="44"/>
          <w:szCs w:val="44"/>
          <w:lang w:val="en-US" w:eastAsia="zh-CN"/>
        </w:rPr>
        <w:t>东边路一期、东波路一期、南侧规划路〕）项目被征地农民养老保障方</w:t>
      </w:r>
      <w:r>
        <w:rPr>
          <w:rFonts w:hint="eastAsia" w:ascii="方正小标宋_GBK" w:hAnsi="方正小标宋_GBK" w:eastAsia="方正小标宋_GBK" w:cs="方正小标宋_GBK"/>
          <w:kern w:val="2"/>
          <w:sz w:val="44"/>
          <w:szCs w:val="44"/>
        </w:rPr>
        <w:t>案</w:t>
      </w:r>
    </w:p>
    <w:p w14:paraId="2DE04478">
      <w:pPr>
        <w:spacing w:before="0" w:line="560" w:lineRule="exact"/>
        <w:rPr>
          <w:rFonts w:ascii="Times New Roman" w:hAnsi="Times New Roman" w:eastAsia="Adobe 黑体 Std R" w:cs="Adobe 黑体 Std R"/>
          <w:kern w:val="2"/>
          <w:sz w:val="34"/>
          <w:szCs w:val="34"/>
        </w:rPr>
      </w:pPr>
    </w:p>
    <w:p w14:paraId="0AE7C3B9">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eastAsia" w:ascii="Times New Roman" w:hAnsi="Times New Roman" w:eastAsia="仿宋_GB2312" w:cs="仿宋_GB2312"/>
          <w:kern w:val="2"/>
          <w:sz w:val="32"/>
          <w:szCs w:val="32"/>
          <w:lang w:eastAsia="zh-CN"/>
        </w:rPr>
      </w:pPr>
      <w:r>
        <w:rPr>
          <w:rFonts w:hint="eastAsia" w:ascii="Times New Roman" w:hAnsi="Times New Roman" w:eastAsia="仿宋_GB2312" w:cs="仿宋_GB2312"/>
          <w:kern w:val="2"/>
          <w:sz w:val="32"/>
          <w:szCs w:val="32"/>
        </w:rPr>
        <w:t>根据《中华人民共和国土地管理法》《关于切实做好被征地农民社会保障工作有关问题的通知》</w:t>
      </w:r>
      <w:r>
        <w:rPr>
          <w:rFonts w:hint="eastAsia" w:cs="仿宋_GB2312"/>
          <w:kern w:val="2"/>
          <w:sz w:val="32"/>
          <w:szCs w:val="32"/>
          <w:lang w:eastAsia="zh-CN"/>
        </w:rPr>
        <w:t>（</w:t>
      </w:r>
      <w:r>
        <w:rPr>
          <w:rFonts w:hint="eastAsia" w:ascii="Times New Roman" w:hAnsi="Times New Roman" w:eastAsia="仿宋_GB2312" w:cs="仿宋_GB2312"/>
          <w:kern w:val="2"/>
          <w:sz w:val="32"/>
          <w:szCs w:val="32"/>
        </w:rPr>
        <w:t>劳社部发</w:t>
      </w:r>
      <w:r>
        <w:rPr>
          <w:rFonts w:hint="eastAsia" w:cs="仿宋_GB2312"/>
          <w:kern w:val="2"/>
          <w:sz w:val="32"/>
          <w:szCs w:val="32"/>
          <w:lang w:eastAsia="zh-CN"/>
        </w:rPr>
        <w:t>〔</w:t>
      </w:r>
      <w:r>
        <w:rPr>
          <w:rFonts w:hint="eastAsia" w:ascii="Times New Roman" w:hAnsi="Times New Roman" w:eastAsia="仿宋_GB2312" w:cs="仿宋_GB2312"/>
          <w:kern w:val="2"/>
          <w:sz w:val="32"/>
          <w:szCs w:val="32"/>
        </w:rPr>
        <w:t>2007</w:t>
      </w:r>
      <w:r>
        <w:rPr>
          <w:rFonts w:hint="eastAsia" w:cs="仿宋_GB2312"/>
          <w:kern w:val="2"/>
          <w:sz w:val="32"/>
          <w:szCs w:val="32"/>
          <w:lang w:eastAsia="zh-CN"/>
        </w:rPr>
        <w:t>〕</w:t>
      </w:r>
      <w:r>
        <w:rPr>
          <w:rFonts w:hint="eastAsia" w:ascii="Times New Roman" w:hAnsi="Times New Roman" w:eastAsia="仿宋_GB2312" w:cs="仿宋_GB2312"/>
          <w:kern w:val="2"/>
          <w:sz w:val="32"/>
          <w:szCs w:val="32"/>
        </w:rPr>
        <w:t>14号，下称劳社部发</w:t>
      </w:r>
      <w:r>
        <w:rPr>
          <w:rFonts w:hint="eastAsia" w:cs="仿宋_GB2312"/>
          <w:kern w:val="2"/>
          <w:sz w:val="32"/>
          <w:szCs w:val="32"/>
          <w:lang w:eastAsia="zh-CN"/>
        </w:rPr>
        <w:t>〔</w:t>
      </w:r>
      <w:r>
        <w:rPr>
          <w:rFonts w:hint="eastAsia" w:ascii="Times New Roman" w:hAnsi="Times New Roman" w:eastAsia="仿宋_GB2312" w:cs="仿宋_GB2312"/>
          <w:kern w:val="2"/>
          <w:sz w:val="32"/>
          <w:szCs w:val="32"/>
        </w:rPr>
        <w:t>2007</w:t>
      </w:r>
      <w:r>
        <w:rPr>
          <w:rFonts w:hint="eastAsia" w:cs="仿宋_GB2312"/>
          <w:kern w:val="2"/>
          <w:sz w:val="32"/>
          <w:szCs w:val="32"/>
          <w:lang w:eastAsia="zh-CN"/>
        </w:rPr>
        <w:t>〕</w:t>
      </w:r>
      <w:r>
        <w:rPr>
          <w:rFonts w:hint="eastAsia" w:ascii="Times New Roman" w:hAnsi="Times New Roman" w:eastAsia="仿宋_GB2312" w:cs="仿宋_GB2312"/>
          <w:kern w:val="2"/>
          <w:sz w:val="32"/>
          <w:szCs w:val="32"/>
        </w:rPr>
        <w:t>14号</w:t>
      </w:r>
      <w:r>
        <w:rPr>
          <w:rFonts w:hint="eastAsia" w:cs="仿宋_GB2312"/>
          <w:kern w:val="2"/>
          <w:sz w:val="32"/>
          <w:szCs w:val="32"/>
          <w:lang w:eastAsia="zh-CN"/>
        </w:rPr>
        <w:t>）</w:t>
      </w:r>
      <w:r>
        <w:rPr>
          <w:rFonts w:hint="eastAsia" w:ascii="Times New Roman" w:hAnsi="Times New Roman" w:eastAsia="仿宋_GB2312" w:cs="仿宋_GB2312"/>
          <w:kern w:val="2"/>
          <w:sz w:val="32"/>
          <w:szCs w:val="32"/>
        </w:rPr>
        <w:t>、《广东省人民政府办公厅转发省人力资源社会保障厅关于进一步完善我省被征地农民养老保障政策意见的通知》</w:t>
      </w:r>
      <w:r>
        <w:rPr>
          <w:rFonts w:hint="eastAsia" w:cs="仿宋_GB2312"/>
          <w:kern w:val="2"/>
          <w:sz w:val="32"/>
          <w:szCs w:val="32"/>
          <w:lang w:eastAsia="zh-CN"/>
        </w:rPr>
        <w:t>（</w:t>
      </w:r>
      <w:r>
        <w:rPr>
          <w:rFonts w:hint="eastAsia" w:ascii="Times New Roman" w:hAnsi="Times New Roman" w:eastAsia="仿宋_GB2312" w:cs="仿宋_GB2312"/>
          <w:kern w:val="2"/>
          <w:sz w:val="32"/>
          <w:szCs w:val="32"/>
        </w:rPr>
        <w:t>粤府办</w:t>
      </w:r>
      <w:r>
        <w:rPr>
          <w:rFonts w:hint="eastAsia" w:cs="仿宋_GB2312"/>
          <w:kern w:val="2"/>
          <w:sz w:val="32"/>
          <w:szCs w:val="32"/>
          <w:lang w:eastAsia="zh-CN"/>
        </w:rPr>
        <w:t>〔</w:t>
      </w:r>
      <w:r>
        <w:rPr>
          <w:rFonts w:hint="eastAsia" w:ascii="Times New Roman" w:hAnsi="Times New Roman" w:eastAsia="仿宋_GB2312" w:cs="仿宋_GB2312"/>
          <w:kern w:val="2"/>
          <w:sz w:val="32"/>
          <w:szCs w:val="32"/>
        </w:rPr>
        <w:t>2021</w:t>
      </w:r>
      <w:r>
        <w:rPr>
          <w:rFonts w:hint="eastAsia" w:cs="仿宋_GB2312"/>
          <w:kern w:val="2"/>
          <w:sz w:val="32"/>
          <w:szCs w:val="32"/>
          <w:lang w:eastAsia="zh-CN"/>
        </w:rPr>
        <w:t>〕</w:t>
      </w:r>
      <w:r>
        <w:rPr>
          <w:rFonts w:hint="eastAsia" w:ascii="Times New Roman" w:hAnsi="Times New Roman" w:eastAsia="仿宋_GB2312" w:cs="仿宋_GB2312"/>
          <w:kern w:val="2"/>
          <w:sz w:val="32"/>
          <w:szCs w:val="32"/>
        </w:rPr>
        <w:t>22号</w:t>
      </w:r>
      <w:r>
        <w:rPr>
          <w:rFonts w:hint="eastAsia" w:cs="仿宋_GB2312"/>
          <w:kern w:val="2"/>
          <w:sz w:val="32"/>
          <w:szCs w:val="32"/>
          <w:lang w:eastAsia="zh-CN"/>
        </w:rPr>
        <w:t>）</w:t>
      </w:r>
      <w:r>
        <w:rPr>
          <w:rFonts w:hint="eastAsia" w:ascii="Times New Roman" w:hAnsi="Times New Roman" w:eastAsia="仿宋_GB2312" w:cs="仿宋_GB2312"/>
          <w:kern w:val="2"/>
          <w:sz w:val="32"/>
          <w:szCs w:val="32"/>
        </w:rPr>
        <w:t>第八条、原《转发省人力资源社会保障厅关于进一步做好我省被征地农民养老保障工作意见的通知》</w:t>
      </w:r>
      <w:r>
        <w:rPr>
          <w:rFonts w:hint="eastAsia" w:cs="仿宋_GB2312"/>
          <w:kern w:val="2"/>
          <w:sz w:val="32"/>
          <w:szCs w:val="32"/>
          <w:lang w:eastAsia="zh-CN"/>
        </w:rPr>
        <w:t>（</w:t>
      </w:r>
      <w:r>
        <w:rPr>
          <w:rFonts w:hint="eastAsia" w:ascii="Times New Roman" w:hAnsi="Times New Roman" w:eastAsia="仿宋_GB2312" w:cs="仿宋_GB2312"/>
          <w:kern w:val="2"/>
          <w:sz w:val="32"/>
          <w:szCs w:val="32"/>
        </w:rPr>
        <w:t>粵府办</w:t>
      </w:r>
      <w:r>
        <w:rPr>
          <w:rFonts w:hint="eastAsia" w:cs="仿宋_GB2312"/>
          <w:kern w:val="2"/>
          <w:sz w:val="32"/>
          <w:szCs w:val="32"/>
          <w:lang w:eastAsia="zh-CN"/>
        </w:rPr>
        <w:t>〔</w:t>
      </w:r>
      <w:r>
        <w:rPr>
          <w:rFonts w:hint="eastAsia" w:ascii="Times New Roman" w:hAnsi="Times New Roman" w:eastAsia="仿宋_GB2312" w:cs="仿宋_GB2312"/>
          <w:kern w:val="2"/>
          <w:sz w:val="32"/>
          <w:szCs w:val="32"/>
        </w:rPr>
        <w:t>2010</w:t>
      </w:r>
      <w:r>
        <w:rPr>
          <w:rFonts w:hint="eastAsia" w:cs="仿宋_GB2312"/>
          <w:kern w:val="2"/>
          <w:sz w:val="32"/>
          <w:szCs w:val="32"/>
          <w:lang w:eastAsia="zh-CN"/>
        </w:rPr>
        <w:t>〕</w:t>
      </w:r>
      <w:r>
        <w:rPr>
          <w:rFonts w:hint="eastAsia" w:ascii="Times New Roman" w:hAnsi="Times New Roman" w:eastAsia="仿宋_GB2312" w:cs="仿宋_GB2312"/>
          <w:kern w:val="2"/>
          <w:sz w:val="32"/>
          <w:szCs w:val="32"/>
        </w:rPr>
        <w:t>41号，下简称原征地社保政策</w:t>
      </w:r>
      <w:r>
        <w:rPr>
          <w:rFonts w:hint="eastAsia" w:cs="仿宋_GB2312"/>
          <w:kern w:val="2"/>
          <w:sz w:val="32"/>
          <w:szCs w:val="32"/>
          <w:lang w:eastAsia="zh-CN"/>
        </w:rPr>
        <w:t>）</w:t>
      </w:r>
      <w:r>
        <w:rPr>
          <w:rFonts w:hint="eastAsia" w:ascii="Times New Roman" w:hAnsi="Times New Roman" w:eastAsia="仿宋_GB2312" w:cs="仿宋_GB2312"/>
          <w:kern w:val="2"/>
          <w:sz w:val="32"/>
          <w:szCs w:val="32"/>
        </w:rPr>
        <w:t>、《广州市人民政府办公厅关于印发广州市城乡居民养老保险实施办法的通知》</w:t>
      </w:r>
      <w:r>
        <w:rPr>
          <w:rFonts w:hint="eastAsia" w:cs="仿宋_GB2312"/>
          <w:kern w:val="2"/>
          <w:sz w:val="32"/>
          <w:szCs w:val="32"/>
          <w:lang w:eastAsia="zh-CN"/>
        </w:rPr>
        <w:t>（</w:t>
      </w:r>
      <w:r>
        <w:rPr>
          <w:rFonts w:hint="eastAsia" w:ascii="Times New Roman" w:hAnsi="Times New Roman" w:eastAsia="仿宋_GB2312" w:cs="仿宋_GB2312"/>
          <w:kern w:val="2"/>
          <w:sz w:val="32"/>
          <w:szCs w:val="32"/>
        </w:rPr>
        <w:t>穗府办规</w:t>
      </w:r>
      <w:r>
        <w:rPr>
          <w:rFonts w:hint="eastAsia" w:cs="仿宋_GB2312"/>
          <w:kern w:val="2"/>
          <w:sz w:val="32"/>
          <w:szCs w:val="32"/>
          <w:lang w:eastAsia="zh-CN"/>
        </w:rPr>
        <w:t>（</w:t>
      </w:r>
      <w:r>
        <w:rPr>
          <w:rFonts w:hint="eastAsia" w:ascii="Times New Roman" w:hAnsi="Times New Roman" w:eastAsia="仿宋_GB2312" w:cs="仿宋_GB2312"/>
          <w:kern w:val="2"/>
          <w:sz w:val="32"/>
          <w:szCs w:val="32"/>
        </w:rPr>
        <w:t>2021</w:t>
      </w:r>
      <w:r>
        <w:rPr>
          <w:rFonts w:hint="eastAsia" w:cs="仿宋_GB2312"/>
          <w:kern w:val="2"/>
          <w:sz w:val="32"/>
          <w:szCs w:val="32"/>
          <w:lang w:eastAsia="zh-CN"/>
        </w:rPr>
        <w:t>）</w:t>
      </w:r>
      <w:r>
        <w:rPr>
          <w:rFonts w:hint="eastAsia" w:ascii="Times New Roman" w:hAnsi="Times New Roman" w:eastAsia="仿宋_GB2312" w:cs="仿宋_GB2312"/>
          <w:kern w:val="2"/>
          <w:sz w:val="32"/>
          <w:szCs w:val="32"/>
        </w:rPr>
        <w:t>8号</w:t>
      </w:r>
      <w:r>
        <w:rPr>
          <w:rFonts w:hint="eastAsia" w:cs="仿宋_GB2312"/>
          <w:kern w:val="2"/>
          <w:sz w:val="32"/>
          <w:szCs w:val="32"/>
          <w:lang w:eastAsia="zh-CN"/>
        </w:rPr>
        <w:t>）</w:t>
      </w:r>
      <w:r>
        <w:rPr>
          <w:rFonts w:hint="eastAsia" w:ascii="Times New Roman" w:hAnsi="Times New Roman" w:eastAsia="仿宋_GB2312" w:cs="仿宋_GB2312"/>
          <w:kern w:val="2"/>
          <w:sz w:val="32"/>
          <w:szCs w:val="32"/>
        </w:rPr>
        <w:t>第九条等有关规定，拟定广州市花都区2026年度第四十批次城镇建设用地</w:t>
      </w:r>
      <w:r>
        <w:rPr>
          <w:rFonts w:hint="eastAsia" w:cs="仿宋_GB2312"/>
          <w:kern w:val="2"/>
          <w:sz w:val="32"/>
          <w:szCs w:val="32"/>
          <w:lang w:eastAsia="zh-CN"/>
        </w:rPr>
        <w:t>（</w:t>
      </w:r>
      <w:r>
        <w:rPr>
          <w:rFonts w:hint="eastAsia" w:ascii="Times New Roman" w:hAnsi="Times New Roman" w:eastAsia="仿宋_GB2312" w:cs="仿宋_GB2312"/>
          <w:kern w:val="2"/>
          <w:sz w:val="32"/>
          <w:szCs w:val="32"/>
        </w:rPr>
        <w:t>秀全中学新校区周边道路工程</w:t>
      </w:r>
      <w:r>
        <w:rPr>
          <w:rFonts w:hint="eastAsia" w:cs="仿宋_GB2312"/>
          <w:kern w:val="2"/>
          <w:sz w:val="32"/>
          <w:szCs w:val="32"/>
          <w:lang w:eastAsia="zh-CN"/>
        </w:rPr>
        <w:t>〔</w:t>
      </w:r>
      <w:r>
        <w:rPr>
          <w:rFonts w:hint="eastAsia" w:ascii="Times New Roman" w:hAnsi="Times New Roman" w:eastAsia="仿宋_GB2312" w:cs="仿宋_GB2312"/>
          <w:kern w:val="2"/>
          <w:sz w:val="32"/>
          <w:szCs w:val="32"/>
        </w:rPr>
        <w:t>东边路一期、东波路一期、南侧规划路</w:t>
      </w:r>
      <w:r>
        <w:rPr>
          <w:rFonts w:hint="eastAsia" w:cs="仿宋_GB2312"/>
          <w:kern w:val="2"/>
          <w:sz w:val="32"/>
          <w:szCs w:val="32"/>
          <w:lang w:eastAsia="zh-CN"/>
        </w:rPr>
        <w:t>〕）</w:t>
      </w:r>
      <w:r>
        <w:rPr>
          <w:rFonts w:hint="eastAsia" w:ascii="Times New Roman" w:hAnsi="Times New Roman" w:eastAsia="仿宋_GB2312" w:cs="仿宋_GB2312"/>
          <w:kern w:val="2"/>
          <w:sz w:val="32"/>
          <w:szCs w:val="32"/>
        </w:rPr>
        <w:t>项目被征地农民养老保障方案如下</w:t>
      </w:r>
      <w:r>
        <w:rPr>
          <w:rFonts w:hint="eastAsia" w:cs="仿宋_GB2312"/>
          <w:kern w:val="2"/>
          <w:sz w:val="32"/>
          <w:szCs w:val="32"/>
          <w:lang w:eastAsia="zh-CN"/>
        </w:rPr>
        <w:t>：</w:t>
      </w:r>
    </w:p>
    <w:p w14:paraId="1AD6B4ED">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一、对广州市花都区2026年度第四十批次城镇建设用地</w:t>
      </w:r>
      <w:r>
        <w:rPr>
          <w:rFonts w:hint="eastAsia" w:cs="仿宋_GB2312"/>
          <w:kern w:val="2"/>
          <w:sz w:val="32"/>
          <w:szCs w:val="32"/>
          <w:lang w:eastAsia="zh-CN"/>
        </w:rPr>
        <w:t>（</w:t>
      </w:r>
      <w:r>
        <w:rPr>
          <w:rFonts w:hint="eastAsia" w:ascii="Times New Roman" w:hAnsi="Times New Roman" w:eastAsia="仿宋_GB2312" w:cs="仿宋_GB2312"/>
          <w:kern w:val="2"/>
          <w:sz w:val="32"/>
          <w:szCs w:val="32"/>
        </w:rPr>
        <w:t>秀全中学新校区周边道路工程</w:t>
      </w:r>
      <w:r>
        <w:rPr>
          <w:rFonts w:hint="eastAsia" w:cs="仿宋_GB2312"/>
          <w:kern w:val="2"/>
          <w:sz w:val="32"/>
          <w:szCs w:val="32"/>
          <w:lang w:eastAsia="zh-CN"/>
        </w:rPr>
        <w:t>〔</w:t>
      </w:r>
      <w:r>
        <w:rPr>
          <w:rFonts w:hint="eastAsia" w:ascii="Times New Roman" w:hAnsi="Times New Roman" w:eastAsia="仿宋_GB2312" w:cs="仿宋_GB2312"/>
          <w:kern w:val="2"/>
          <w:sz w:val="32"/>
          <w:szCs w:val="32"/>
        </w:rPr>
        <w:t>东边路一期、东波路一期、南侧规划路</w:t>
      </w:r>
      <w:r>
        <w:rPr>
          <w:rFonts w:hint="eastAsia" w:cs="仿宋_GB2312"/>
          <w:kern w:val="2"/>
          <w:sz w:val="32"/>
          <w:szCs w:val="32"/>
          <w:lang w:eastAsia="zh-CN"/>
        </w:rPr>
        <w:t>〕）</w:t>
      </w:r>
      <w:r>
        <w:rPr>
          <w:rFonts w:hint="eastAsia" w:ascii="Times New Roman" w:hAnsi="Times New Roman" w:eastAsia="仿宋_GB2312" w:cs="仿宋_GB2312"/>
          <w:kern w:val="2"/>
          <w:sz w:val="32"/>
          <w:szCs w:val="32"/>
        </w:rPr>
        <w:t>项目涉及的被征地农民实施社会养老保障。依据市规划和自然资源局花都区分局提供情况，该项目征地双方于2021年7月全部完成征地补偿安置协议签订，按粤府办〔2021〕22号文第八点规定执行原征地社保政策。</w:t>
      </w:r>
    </w:p>
    <w:p w14:paraId="668A7FE2">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二、被征地农民养老保障的对象。广州市花都区2026年度第四十批次城镇建设用地</w:t>
      </w:r>
      <w:r>
        <w:rPr>
          <w:rFonts w:hint="eastAsia" w:cs="仿宋_GB2312"/>
          <w:kern w:val="2"/>
          <w:sz w:val="32"/>
          <w:szCs w:val="32"/>
          <w:lang w:eastAsia="zh-CN"/>
        </w:rPr>
        <w:t>（</w:t>
      </w:r>
      <w:r>
        <w:rPr>
          <w:rFonts w:hint="eastAsia" w:ascii="Times New Roman" w:hAnsi="Times New Roman" w:eastAsia="仿宋_GB2312" w:cs="仿宋_GB2312"/>
          <w:kern w:val="2"/>
          <w:sz w:val="32"/>
          <w:szCs w:val="32"/>
        </w:rPr>
        <w:t>秀全中学新校区周边道路工程</w:t>
      </w:r>
      <w:r>
        <w:rPr>
          <w:rFonts w:hint="eastAsia" w:cs="仿宋_GB2312"/>
          <w:kern w:val="2"/>
          <w:sz w:val="32"/>
          <w:szCs w:val="32"/>
          <w:lang w:eastAsia="zh-CN"/>
        </w:rPr>
        <w:t>〔</w:t>
      </w:r>
      <w:r>
        <w:rPr>
          <w:rFonts w:hint="eastAsia" w:ascii="Times New Roman" w:hAnsi="Times New Roman" w:eastAsia="仿宋_GB2312" w:cs="仿宋_GB2312"/>
          <w:kern w:val="2"/>
          <w:sz w:val="32"/>
          <w:szCs w:val="32"/>
        </w:rPr>
        <w:t>东边路一期、东波路一期、南侧规划路</w:t>
      </w:r>
      <w:r>
        <w:rPr>
          <w:rFonts w:hint="eastAsia" w:cs="仿宋_GB2312"/>
          <w:kern w:val="2"/>
          <w:sz w:val="32"/>
          <w:szCs w:val="32"/>
          <w:lang w:eastAsia="zh-CN"/>
        </w:rPr>
        <w:t>〕）</w:t>
      </w:r>
      <w:r>
        <w:rPr>
          <w:rFonts w:hint="eastAsia" w:ascii="Times New Roman" w:hAnsi="Times New Roman" w:eastAsia="仿宋_GB2312" w:cs="仿宋_GB2312"/>
          <w:kern w:val="2"/>
          <w:sz w:val="32"/>
          <w:szCs w:val="32"/>
        </w:rPr>
        <w:t>项目征收我区花城街东边村土地面积共50.</w:t>
      </w:r>
      <w:r>
        <w:rPr>
          <w:rFonts w:hint="eastAsia" w:cs="仿宋_GB2312"/>
          <w:kern w:val="2"/>
          <w:sz w:val="32"/>
          <w:szCs w:val="32"/>
          <w:lang w:val="en-US" w:eastAsia="zh-CN"/>
        </w:rPr>
        <w:t>1315</w:t>
      </w:r>
      <w:r>
        <w:rPr>
          <w:rFonts w:hint="eastAsia" w:ascii="Times New Roman" w:hAnsi="Times New Roman" w:eastAsia="仿宋_GB2312" w:cs="仿宋_GB2312"/>
          <w:kern w:val="2"/>
          <w:sz w:val="32"/>
          <w:szCs w:val="32"/>
        </w:rPr>
        <w:t>亩</w:t>
      </w:r>
      <w:r>
        <w:rPr>
          <w:rFonts w:hint="eastAsia" w:cs="仿宋_GB2312"/>
          <w:kern w:val="2"/>
          <w:sz w:val="32"/>
          <w:szCs w:val="32"/>
          <w:lang w:eastAsia="zh-CN"/>
        </w:rPr>
        <w:t>（</w:t>
      </w:r>
      <w:r>
        <w:rPr>
          <w:rFonts w:hint="eastAsia" w:ascii="Times New Roman" w:hAnsi="Times New Roman" w:eastAsia="仿宋_GB2312" w:cs="仿宋_GB2312"/>
          <w:kern w:val="2"/>
          <w:sz w:val="32"/>
          <w:szCs w:val="32"/>
        </w:rPr>
        <w:t>其中0亩属于被征地单位留用地</w:t>
      </w:r>
      <w:r>
        <w:rPr>
          <w:rFonts w:hint="eastAsia" w:cs="仿宋_GB2312"/>
          <w:kern w:val="2"/>
          <w:sz w:val="32"/>
          <w:szCs w:val="32"/>
          <w:lang w:eastAsia="zh-CN"/>
        </w:rPr>
        <w:t>）</w:t>
      </w:r>
      <w:r>
        <w:rPr>
          <w:rFonts w:hint="eastAsia" w:ascii="Times New Roman" w:hAnsi="Times New Roman" w:eastAsia="仿宋_GB2312" w:cs="仿宋_GB2312"/>
          <w:kern w:val="2"/>
          <w:sz w:val="32"/>
          <w:szCs w:val="32"/>
        </w:rPr>
        <w:t>。该项目涉及的被征地单位留用地按规定不计提征地社保费，其余被征土地涉及应纳入养老保障范围的被征地农民共61人。具体名单经村民</w:t>
      </w:r>
      <w:r>
        <w:rPr>
          <w:rFonts w:hint="eastAsia" w:cs="仿宋_GB2312"/>
          <w:kern w:val="2"/>
          <w:sz w:val="32"/>
          <w:szCs w:val="32"/>
          <w:lang w:eastAsia="zh-CN"/>
        </w:rPr>
        <w:t>（</w:t>
      </w:r>
      <w:r>
        <w:rPr>
          <w:rFonts w:hint="eastAsia" w:ascii="Times New Roman" w:hAnsi="Times New Roman" w:eastAsia="仿宋_GB2312" w:cs="仿宋_GB2312"/>
          <w:kern w:val="2"/>
          <w:sz w:val="32"/>
          <w:szCs w:val="32"/>
        </w:rPr>
        <w:t>股东</w:t>
      </w:r>
      <w:r>
        <w:rPr>
          <w:rFonts w:hint="eastAsia" w:cs="仿宋_GB2312"/>
          <w:kern w:val="2"/>
          <w:sz w:val="32"/>
          <w:szCs w:val="32"/>
          <w:lang w:eastAsia="zh-CN"/>
        </w:rPr>
        <w:t>）</w:t>
      </w:r>
      <w:r>
        <w:rPr>
          <w:rFonts w:hint="eastAsia" w:ascii="Times New Roman" w:hAnsi="Times New Roman" w:eastAsia="仿宋_GB2312" w:cs="仿宋_GB2312"/>
          <w:kern w:val="2"/>
          <w:sz w:val="32"/>
          <w:szCs w:val="32"/>
        </w:rPr>
        <w:t>大会或村民</w:t>
      </w:r>
      <w:r>
        <w:rPr>
          <w:rFonts w:hint="eastAsia" w:cs="仿宋_GB2312"/>
          <w:kern w:val="2"/>
          <w:sz w:val="32"/>
          <w:szCs w:val="32"/>
          <w:lang w:eastAsia="zh-CN"/>
        </w:rPr>
        <w:t>（</w:t>
      </w:r>
      <w:r>
        <w:rPr>
          <w:rFonts w:hint="eastAsia" w:ascii="Times New Roman" w:hAnsi="Times New Roman" w:eastAsia="仿宋_GB2312" w:cs="仿宋_GB2312"/>
          <w:kern w:val="2"/>
          <w:sz w:val="32"/>
          <w:szCs w:val="32"/>
        </w:rPr>
        <w:t>股东</w:t>
      </w:r>
      <w:r>
        <w:rPr>
          <w:rFonts w:hint="eastAsia" w:cs="仿宋_GB2312"/>
          <w:kern w:val="2"/>
          <w:sz w:val="32"/>
          <w:szCs w:val="32"/>
          <w:lang w:eastAsia="zh-CN"/>
        </w:rPr>
        <w:t>）</w:t>
      </w:r>
      <w:r>
        <w:rPr>
          <w:rFonts w:hint="eastAsia" w:ascii="Times New Roman" w:hAnsi="Times New Roman" w:eastAsia="仿宋_GB2312" w:cs="仿宋_GB2312"/>
          <w:kern w:val="2"/>
          <w:sz w:val="32"/>
          <w:szCs w:val="32"/>
        </w:rPr>
        <w:t>代表大会讨论，由村委会报镇人民政府核准、公示后确定，送所属社会保险经办部门办理社保手续。</w:t>
      </w:r>
    </w:p>
    <w:p w14:paraId="1461754B">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三、征地社保费筹集。征地主体</w:t>
      </w:r>
      <w:r>
        <w:rPr>
          <w:rFonts w:hint="eastAsia" w:ascii="Times New Roman" w:hAnsi="Times New Roman" w:eastAsia="仿宋_GB2312" w:cs="仿宋_GB2312"/>
          <w:kern w:val="2"/>
          <w:sz w:val="32"/>
          <w:szCs w:val="32"/>
          <w:lang w:eastAsia="zh-CN"/>
        </w:rPr>
        <w:t>（</w:t>
      </w:r>
      <w:r>
        <w:rPr>
          <w:rFonts w:hint="eastAsia" w:ascii="Times New Roman" w:hAnsi="Times New Roman" w:eastAsia="仿宋_GB2312" w:cs="仿宋_GB2312"/>
          <w:kern w:val="2"/>
          <w:sz w:val="32"/>
          <w:szCs w:val="32"/>
        </w:rPr>
        <w:t>用地单位</w:t>
      </w:r>
      <w:r>
        <w:rPr>
          <w:rFonts w:hint="eastAsia" w:ascii="Times New Roman" w:hAnsi="Times New Roman" w:eastAsia="仿宋_GB2312" w:cs="仿宋_GB2312"/>
          <w:kern w:val="2"/>
          <w:sz w:val="32"/>
          <w:szCs w:val="32"/>
          <w:lang w:eastAsia="zh-CN"/>
        </w:rPr>
        <w:t>）</w:t>
      </w:r>
      <w:r>
        <w:rPr>
          <w:rFonts w:hint="eastAsia" w:ascii="Times New Roman" w:hAnsi="Times New Roman" w:eastAsia="仿宋_GB2312" w:cs="仿宋_GB2312"/>
          <w:kern w:val="2"/>
          <w:sz w:val="32"/>
          <w:szCs w:val="32"/>
        </w:rPr>
        <w:t>按每人1.62万元的标准和应纳入养老保障范围的被征地农民人数，将需计提征地社保费共98.82万元一次性预存入我区人力资源社会保障部门开设的“收缴被征地农民社会保障资金过渡户”，征地社保费单列计提并计入征地成本，纳入工程项目概算。</w:t>
      </w:r>
    </w:p>
    <w:p w14:paraId="22315850">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四、征地社保费分配。一是该项目征地社保费按原粤府办</w:t>
      </w:r>
      <w:r>
        <w:rPr>
          <w:rFonts w:hint="eastAsia" w:cs="仿宋_GB2312"/>
          <w:kern w:val="2"/>
          <w:sz w:val="32"/>
          <w:szCs w:val="32"/>
          <w:lang w:eastAsia="zh-CN"/>
        </w:rPr>
        <w:t>〔</w:t>
      </w:r>
      <w:r>
        <w:rPr>
          <w:rFonts w:hint="eastAsia" w:ascii="Times New Roman" w:hAnsi="Times New Roman" w:eastAsia="仿宋_GB2312" w:cs="仿宋_GB2312"/>
          <w:kern w:val="2"/>
          <w:sz w:val="32"/>
          <w:szCs w:val="32"/>
        </w:rPr>
        <w:t>2010</w:t>
      </w:r>
      <w:r>
        <w:rPr>
          <w:rFonts w:hint="eastAsia" w:cs="仿宋_GB2312"/>
          <w:kern w:val="2"/>
          <w:sz w:val="32"/>
          <w:szCs w:val="32"/>
          <w:lang w:eastAsia="zh-CN"/>
        </w:rPr>
        <w:t>〕</w:t>
      </w:r>
      <w:r>
        <w:rPr>
          <w:rFonts w:hint="eastAsia" w:ascii="Times New Roman" w:hAnsi="Times New Roman" w:eastAsia="仿宋_GB2312" w:cs="仿宋_GB2312"/>
          <w:kern w:val="2"/>
          <w:sz w:val="32"/>
          <w:szCs w:val="32"/>
        </w:rPr>
        <w:t>41号文规定，专款用于支付被征地农民养老保险个人缴费费用，也可按《广东省人力资源社会保障厅人社厅关于进一步做好被征地农民社会保障工作完善相关政策的通知》</w:t>
      </w:r>
      <w:r>
        <w:rPr>
          <w:rFonts w:hint="eastAsia" w:cs="仿宋_GB2312"/>
          <w:kern w:val="2"/>
          <w:sz w:val="32"/>
          <w:szCs w:val="32"/>
          <w:lang w:eastAsia="zh-CN"/>
        </w:rPr>
        <w:t>（</w:t>
      </w:r>
      <w:r>
        <w:rPr>
          <w:rFonts w:hint="eastAsia" w:ascii="Times New Roman" w:hAnsi="Times New Roman" w:eastAsia="仿宋_GB2312" w:cs="仿宋_GB2312"/>
          <w:kern w:val="2"/>
          <w:sz w:val="32"/>
          <w:szCs w:val="32"/>
        </w:rPr>
        <w:t>粤人社规</w:t>
      </w:r>
      <w:r>
        <w:rPr>
          <w:rFonts w:hint="eastAsia" w:cs="仿宋_GB2312"/>
          <w:kern w:val="2"/>
          <w:sz w:val="32"/>
          <w:szCs w:val="32"/>
          <w:lang w:eastAsia="zh-CN"/>
        </w:rPr>
        <w:t>〔</w:t>
      </w:r>
      <w:r>
        <w:rPr>
          <w:rFonts w:hint="eastAsia" w:ascii="Times New Roman" w:hAnsi="Times New Roman" w:eastAsia="仿宋_GB2312" w:cs="仿宋_GB2312"/>
          <w:kern w:val="2"/>
          <w:sz w:val="32"/>
          <w:szCs w:val="32"/>
        </w:rPr>
        <w:t>2025</w:t>
      </w:r>
      <w:r>
        <w:rPr>
          <w:rFonts w:hint="eastAsia" w:cs="仿宋_GB2312"/>
          <w:kern w:val="2"/>
          <w:sz w:val="32"/>
          <w:szCs w:val="32"/>
          <w:lang w:eastAsia="zh-CN"/>
        </w:rPr>
        <w:t>〕</w:t>
      </w:r>
      <w:r>
        <w:rPr>
          <w:rFonts w:hint="eastAsia" w:ascii="Times New Roman" w:hAnsi="Times New Roman" w:eastAsia="仿宋_GB2312" w:cs="仿宋_GB2312"/>
          <w:kern w:val="2"/>
          <w:sz w:val="32"/>
          <w:szCs w:val="32"/>
        </w:rPr>
        <w:t>48号</w:t>
      </w:r>
      <w:r>
        <w:rPr>
          <w:rFonts w:hint="eastAsia" w:cs="仿宋_GB2312"/>
          <w:kern w:val="2"/>
          <w:sz w:val="32"/>
          <w:szCs w:val="32"/>
          <w:lang w:eastAsia="zh-CN"/>
        </w:rPr>
        <w:t>）</w:t>
      </w:r>
      <w:r>
        <w:rPr>
          <w:rFonts w:hint="eastAsia" w:ascii="Times New Roman" w:hAnsi="Times New Roman" w:eastAsia="仿宋_GB2312" w:cs="仿宋_GB2312"/>
          <w:kern w:val="2"/>
          <w:sz w:val="32"/>
          <w:szCs w:val="32"/>
        </w:rPr>
        <w:t>规定办理。二是落实“征地社保费与征地安置补偿费同期拨付”和“在项目获批后3个月内完成资金分配工作，落实参保到人”的有关规定。乡镇人民政府</w:t>
      </w:r>
      <w:r>
        <w:rPr>
          <w:rFonts w:hint="eastAsia" w:cs="仿宋_GB2312"/>
          <w:kern w:val="2"/>
          <w:sz w:val="32"/>
          <w:szCs w:val="32"/>
          <w:lang w:eastAsia="zh-CN"/>
        </w:rPr>
        <w:t>（</w:t>
      </w:r>
      <w:r>
        <w:rPr>
          <w:rFonts w:hint="eastAsia" w:ascii="Times New Roman" w:hAnsi="Times New Roman" w:eastAsia="仿宋_GB2312" w:cs="仿宋_GB2312"/>
          <w:kern w:val="2"/>
          <w:sz w:val="32"/>
          <w:szCs w:val="32"/>
        </w:rPr>
        <w:t>街道办事处</w:t>
      </w:r>
      <w:r>
        <w:rPr>
          <w:rFonts w:hint="eastAsia" w:cs="仿宋_GB2312"/>
          <w:kern w:val="2"/>
          <w:sz w:val="32"/>
          <w:szCs w:val="32"/>
          <w:lang w:eastAsia="zh-CN"/>
        </w:rPr>
        <w:t>）</w:t>
      </w:r>
      <w:r>
        <w:rPr>
          <w:rFonts w:hint="eastAsia" w:ascii="Times New Roman" w:hAnsi="Times New Roman" w:eastAsia="仿宋_GB2312" w:cs="仿宋_GB2312"/>
          <w:kern w:val="2"/>
          <w:sz w:val="32"/>
          <w:szCs w:val="32"/>
        </w:rPr>
        <w:t>按规定牵头做好被征地农民的失地面积及纳入被征地农民养老保障范围的具体人员名单审核、报送工作，及时报送所属社会保险经办部门办理社保手续。</w:t>
      </w:r>
    </w:p>
    <w:p w14:paraId="4D8FAEA9">
      <w:pPr>
        <w:bidi w:val="0"/>
        <w:rPr>
          <w:rFonts w:hint="eastAsia"/>
        </w:rPr>
      </w:pPr>
    </w:p>
    <w:p w14:paraId="10BC1695">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ascii="Times New Roman" w:hAnsi="Times New Roman" w:eastAsia="仿宋_GB2312" w:cs="仿宋_GB2312"/>
          <w:kern w:val="2"/>
          <w:sz w:val="32"/>
          <w:szCs w:val="32"/>
        </w:rPr>
        <w:t>附表</w:t>
      </w:r>
      <w:r>
        <w:rPr>
          <w:rFonts w:hint="eastAsia" w:cs="仿宋_GB2312"/>
          <w:kern w:val="2"/>
          <w:sz w:val="32"/>
          <w:szCs w:val="32"/>
          <w:lang w:eastAsia="zh-CN"/>
        </w:rPr>
        <w:t>：</w:t>
      </w:r>
      <w:r>
        <w:rPr>
          <w:rFonts w:hint="eastAsia" w:ascii="Times New Roman" w:hAnsi="Times New Roman" w:eastAsia="仿宋_GB2312" w:cs="仿宋_GB2312"/>
          <w:kern w:val="2"/>
          <w:sz w:val="32"/>
          <w:szCs w:val="32"/>
        </w:rPr>
        <w:t>征收土地及养老保障情况表</w:t>
      </w:r>
    </w:p>
    <w:p w14:paraId="25C728B4">
      <w:pPr>
        <w:widowControl w:val="0"/>
        <w:spacing w:before="0" w:after="0" w:line="560" w:lineRule="exact"/>
        <w:ind w:right="111" w:rightChars="0" w:firstLine="634" w:firstLineChars="200"/>
        <w:jc w:val="both"/>
        <w:rPr>
          <w:rFonts w:hint="default" w:ascii="Times New Roman" w:hAnsi="Times New Roman" w:eastAsia="仿宋_GB2312" w:cs="Times New Roman"/>
          <w:kern w:val="2"/>
          <w:sz w:val="32"/>
          <w:szCs w:val="32"/>
        </w:rPr>
      </w:pPr>
    </w:p>
    <w:p w14:paraId="485C6F57">
      <w:pPr>
        <w:pStyle w:val="6"/>
        <w:spacing w:before="0" w:line="560" w:lineRule="exact"/>
        <w:ind w:left="0" w:right="260"/>
        <w:jc w:val="right"/>
        <w:rPr>
          <w:rFonts w:hint="eastAsia" w:ascii="Times New Roman" w:hAnsi="Times New Roman" w:eastAsia="仿宋_GB2312" w:cs="仿宋_GB2312"/>
          <w:kern w:val="2"/>
          <w:sz w:val="32"/>
          <w:szCs w:val="32"/>
        </w:rPr>
      </w:pPr>
    </w:p>
    <w:p w14:paraId="4F9E484F">
      <w:pPr>
        <w:pStyle w:val="6"/>
        <w:spacing w:before="0" w:line="560" w:lineRule="exact"/>
        <w:ind w:left="0" w:right="260"/>
        <w:jc w:val="right"/>
        <w:rPr>
          <w:rFonts w:hint="eastAsia" w:ascii="Times New Roman" w:hAnsi="Times New Roman" w:eastAsia="仿宋_GB2312" w:cs="仿宋_GB2312"/>
          <w:kern w:val="2"/>
          <w:sz w:val="32"/>
          <w:szCs w:val="32"/>
        </w:rPr>
      </w:pPr>
    </w:p>
    <w:p w14:paraId="673F2DC0">
      <w:pPr>
        <w:pStyle w:val="6"/>
        <w:spacing w:before="0" w:line="560" w:lineRule="exact"/>
        <w:ind w:left="0" w:right="260"/>
        <w:jc w:val="right"/>
        <w:rPr>
          <w:rFonts w:hint="default" w:ascii="Times New Roman" w:hAnsi="Times New Roman" w:eastAsia="仿宋_GB2312" w:cs="仿宋_GB2312"/>
          <w:kern w:val="2"/>
          <w:sz w:val="32"/>
          <w:szCs w:val="32"/>
          <w:highlight w:val="none"/>
          <w:lang w:val="en-US"/>
        </w:rPr>
      </w:pPr>
      <w:r>
        <w:rPr>
          <w:rFonts w:hint="eastAsia" w:ascii="Times New Roman" w:hAnsi="Times New Roman" w:eastAsia="仿宋_GB2312" w:cs="仿宋_GB2312"/>
          <w:kern w:val="2"/>
          <w:sz w:val="32"/>
          <w:szCs w:val="32"/>
        </w:rPr>
        <w:t>广</w:t>
      </w:r>
      <w:r>
        <w:rPr>
          <w:rFonts w:hint="eastAsia" w:ascii="Times New Roman" w:hAnsi="Times New Roman" w:eastAsia="仿宋_GB2312" w:cs="仿宋_GB2312"/>
          <w:kern w:val="2"/>
          <w:sz w:val="32"/>
          <w:szCs w:val="32"/>
          <w:highlight w:val="none"/>
        </w:rPr>
        <w:t>州市</w:t>
      </w:r>
      <w:r>
        <w:rPr>
          <w:rFonts w:hint="eastAsia" w:ascii="Times New Roman" w:hAnsi="Times New Roman" w:eastAsia="仿宋_GB2312" w:cs="仿宋_GB2312"/>
          <w:kern w:val="2"/>
          <w:sz w:val="32"/>
          <w:szCs w:val="32"/>
          <w:highlight w:val="none"/>
          <w:lang w:eastAsia="zh-CN"/>
        </w:rPr>
        <w:t>花都区</w:t>
      </w:r>
      <w:r>
        <w:rPr>
          <w:rFonts w:hint="eastAsia" w:ascii="Times New Roman" w:hAnsi="Times New Roman" w:eastAsia="仿宋_GB2312" w:cs="仿宋_GB2312"/>
          <w:kern w:val="2"/>
          <w:sz w:val="32"/>
          <w:szCs w:val="32"/>
          <w:highlight w:val="none"/>
          <w:lang w:val="en-US" w:eastAsia="zh-CN"/>
        </w:rPr>
        <w:t>人力资源和社会保障局</w:t>
      </w:r>
    </w:p>
    <w:p w14:paraId="5725E6CB">
      <w:pPr>
        <w:pStyle w:val="6"/>
        <w:spacing w:before="0" w:line="560" w:lineRule="exact"/>
        <w:ind w:left="0" w:right="260"/>
        <w:jc w:val="center"/>
        <w:rPr>
          <w:rFonts w:hint="default" w:ascii="Times New Roman" w:hAnsi="Times New Roman" w:eastAsia="仿宋_GB2312" w:cs="Times New Roman"/>
          <w:kern w:val="2"/>
          <w:sz w:val="32"/>
          <w:szCs w:val="32"/>
          <w:highlight w:val="none"/>
        </w:rPr>
      </w:pPr>
      <w:r>
        <w:rPr>
          <w:rFonts w:hint="eastAsia" w:ascii="Times New Roman" w:hAnsi="Times New Roman" w:eastAsia="仿宋_GB2312" w:cs="Times New Roman"/>
          <w:kern w:val="2"/>
          <w:sz w:val="32"/>
          <w:szCs w:val="32"/>
          <w:highlight w:val="none"/>
          <w:lang w:val="en-US" w:eastAsia="zh-CN"/>
        </w:rPr>
        <w:t xml:space="preserve">                                                </w:t>
      </w:r>
      <w:r>
        <w:rPr>
          <w:rFonts w:hint="default" w:ascii="Times New Roman" w:hAnsi="Times New Roman" w:eastAsia="仿宋_GB2312" w:cs="Times New Roman"/>
          <w:kern w:val="2"/>
          <w:sz w:val="32"/>
          <w:szCs w:val="32"/>
          <w:highlight w:val="none"/>
          <w:lang w:val="en-US" w:eastAsia="zh-CN"/>
        </w:rPr>
        <w:t>202</w:t>
      </w:r>
      <w:r>
        <w:rPr>
          <w:rFonts w:hint="eastAsia" w:ascii="Times New Roman" w:hAnsi="Times New Roman" w:eastAsia="仿宋_GB2312" w:cs="Times New Roman"/>
          <w:kern w:val="2"/>
          <w:sz w:val="32"/>
          <w:szCs w:val="32"/>
          <w:highlight w:val="none"/>
          <w:lang w:val="en-US" w:eastAsia="zh-CN"/>
        </w:rPr>
        <w:t>6</w:t>
      </w:r>
      <w:r>
        <w:rPr>
          <w:rFonts w:hint="default" w:ascii="Times New Roman" w:hAnsi="Times New Roman" w:eastAsia="仿宋_GB2312" w:cs="Times New Roman"/>
          <w:kern w:val="2"/>
          <w:sz w:val="32"/>
          <w:szCs w:val="32"/>
          <w:highlight w:val="none"/>
        </w:rPr>
        <w:t>年</w:t>
      </w:r>
      <w:r>
        <w:rPr>
          <w:rFonts w:hint="eastAsia" w:ascii="Times New Roman" w:hAnsi="Times New Roman" w:eastAsia="仿宋_GB2312" w:cs="Times New Roman"/>
          <w:kern w:val="2"/>
          <w:sz w:val="32"/>
          <w:szCs w:val="32"/>
          <w:highlight w:val="none"/>
          <w:lang w:val="en-US" w:eastAsia="zh-CN"/>
        </w:rPr>
        <w:t>7</w:t>
      </w:r>
      <w:r>
        <w:rPr>
          <w:rFonts w:hint="default" w:ascii="Times New Roman" w:hAnsi="Times New Roman" w:eastAsia="仿宋_GB2312" w:cs="Times New Roman"/>
          <w:kern w:val="2"/>
          <w:sz w:val="32"/>
          <w:szCs w:val="32"/>
          <w:highlight w:val="none"/>
        </w:rPr>
        <w:t>月</w:t>
      </w:r>
      <w:r>
        <w:rPr>
          <w:rFonts w:hint="eastAsia" w:ascii="Times New Roman" w:hAnsi="Times New Roman" w:eastAsia="仿宋_GB2312" w:cs="Times New Roman"/>
          <w:spacing w:val="0"/>
          <w:kern w:val="2"/>
          <w:sz w:val="32"/>
          <w:szCs w:val="32"/>
          <w:highlight w:val="none"/>
          <w:lang w:val="en-US" w:eastAsia="zh-CN"/>
        </w:rPr>
        <w:t>6</w:t>
      </w:r>
      <w:r>
        <w:rPr>
          <w:rFonts w:hint="default" w:ascii="Times New Roman" w:hAnsi="Times New Roman" w:eastAsia="仿宋_GB2312" w:cs="Times New Roman"/>
          <w:kern w:val="2"/>
          <w:sz w:val="32"/>
          <w:szCs w:val="32"/>
          <w:highlight w:val="none"/>
        </w:rPr>
        <w:t>日</w:t>
      </w:r>
    </w:p>
    <w:p w14:paraId="0139C446">
      <w:pPr>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br w:type="page"/>
      </w:r>
    </w:p>
    <w:p w14:paraId="0B0B1C7D">
      <w:pPr>
        <w:rPr>
          <w:rFonts w:hint="eastAsia" w:ascii="黑体" w:hAnsi="黑体" w:eastAsia="黑体" w:cs="黑体"/>
        </w:rPr>
        <w:sectPr>
          <w:footerReference r:id="rId5" w:type="default"/>
          <w:pgSz w:w="11910" w:h="16840"/>
          <w:pgMar w:top="2098" w:right="1474" w:bottom="1984" w:left="1587" w:header="0" w:footer="1587" w:gutter="0"/>
          <w:cols w:space="0" w:num="1"/>
          <w:rtlGutter w:val="0"/>
          <w:docGrid w:type="linesAndChars" w:linePitch="579" w:charSpace="-812"/>
        </w:sectPr>
      </w:pPr>
    </w:p>
    <w:p w14:paraId="72E4AC07">
      <w:pPr>
        <w:rPr>
          <w:rFonts w:ascii="黑体" w:hAnsi="黑体" w:eastAsia="黑体" w:cs="黑体"/>
        </w:rPr>
      </w:pPr>
      <w:r>
        <w:rPr>
          <w:rFonts w:hint="eastAsia" w:ascii="黑体" w:hAnsi="黑体" w:eastAsia="黑体" w:cs="黑体"/>
        </w:rPr>
        <w:t>附表</w:t>
      </w:r>
    </w:p>
    <w:p w14:paraId="52B03850">
      <w:pPr>
        <w:spacing w:line="600" w:lineRule="exact"/>
        <w:ind w:right="210"/>
        <w:jc w:val="center"/>
        <w:rPr>
          <w:rFonts w:eastAsia="方正小标宋简体"/>
          <w:sz w:val="44"/>
          <w:szCs w:val="44"/>
        </w:rPr>
      </w:pPr>
      <w:r>
        <w:rPr>
          <w:rFonts w:eastAsia="方正小标宋简体"/>
          <w:sz w:val="44"/>
          <w:szCs w:val="44"/>
        </w:rPr>
        <w:t>征收土地及养老保障情况表</w:t>
      </w:r>
    </w:p>
    <w:p w14:paraId="30196D0B">
      <w:pPr>
        <w:spacing w:line="600" w:lineRule="exact"/>
        <w:ind w:right="770"/>
        <w:jc w:val="right"/>
        <w:rPr>
          <w:rFonts w:ascii="仿宋_GB2312"/>
          <w:sz w:val="28"/>
          <w:szCs w:val="28"/>
        </w:rPr>
      </w:pPr>
      <w:r>
        <w:rPr>
          <w:rFonts w:hint="eastAsia" w:ascii="仿宋_GB2312"/>
          <w:sz w:val="28"/>
          <w:szCs w:val="28"/>
        </w:rPr>
        <w:t>单位：亩、人、万元</w:t>
      </w:r>
    </w:p>
    <w:tbl>
      <w:tblPr>
        <w:tblStyle w:val="8"/>
        <w:tblW w:w="55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2737"/>
        <w:gridCol w:w="969"/>
        <w:gridCol w:w="1036"/>
        <w:gridCol w:w="969"/>
        <w:gridCol w:w="941"/>
        <w:gridCol w:w="1205"/>
        <w:gridCol w:w="815"/>
        <w:gridCol w:w="1082"/>
      </w:tblGrid>
      <w:tr w14:paraId="0E470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607" w:type="pct"/>
            <w:gridSpan w:val="2"/>
            <w:vMerge w:val="restart"/>
            <w:shd w:val="clear" w:color="auto" w:fill="FFFFFF"/>
            <w:noWrap w:val="0"/>
            <w:vAlign w:val="center"/>
          </w:tcPr>
          <w:p w14:paraId="0E346B74">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仿宋_GB2312" w:hAnsi="仿宋_GB2312" w:cs="仿宋_GB2312"/>
                <w:kern w:val="0"/>
                <w:sz w:val="28"/>
                <w:szCs w:val="28"/>
              </w:rPr>
            </w:pPr>
            <w:r>
              <w:rPr>
                <w:rFonts w:hint="eastAsia" w:ascii="仿宋_GB2312" w:hAnsi="仿宋_GB2312" w:cs="仿宋_GB2312"/>
                <w:kern w:val="0"/>
                <w:sz w:val="28"/>
                <w:szCs w:val="28"/>
              </w:rPr>
              <w:t>被征地单位</w:t>
            </w:r>
          </w:p>
        </w:tc>
        <w:tc>
          <w:tcPr>
            <w:tcW w:w="1875" w:type="pct"/>
            <w:gridSpan w:val="4"/>
            <w:shd w:val="clear" w:color="auto" w:fill="FFFFFF"/>
            <w:noWrap w:val="0"/>
            <w:vAlign w:val="center"/>
          </w:tcPr>
          <w:p w14:paraId="4DC32E62">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仿宋_GB2312" w:hAnsi="仿宋_GB2312" w:cs="仿宋_GB2312"/>
                <w:kern w:val="0"/>
                <w:sz w:val="28"/>
                <w:szCs w:val="28"/>
              </w:rPr>
            </w:pPr>
            <w:r>
              <w:rPr>
                <w:rFonts w:hint="eastAsia" w:ascii="仿宋_GB2312" w:hAnsi="仿宋_GB2312" w:cs="仿宋_GB2312"/>
                <w:kern w:val="0"/>
                <w:sz w:val="28"/>
                <w:szCs w:val="28"/>
              </w:rPr>
              <w:t>征收土地面积</w:t>
            </w:r>
          </w:p>
        </w:tc>
        <w:tc>
          <w:tcPr>
            <w:tcW w:w="588" w:type="pct"/>
            <w:vMerge w:val="restart"/>
            <w:shd w:val="clear" w:color="auto" w:fill="FFFFFF"/>
            <w:noWrap w:val="0"/>
            <w:vAlign w:val="center"/>
          </w:tcPr>
          <w:p w14:paraId="6EC3E9D7">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仿宋_GB2312" w:hAnsi="仿宋_GB2312" w:cs="仿宋_GB2312"/>
                <w:kern w:val="0"/>
                <w:sz w:val="28"/>
                <w:szCs w:val="28"/>
              </w:rPr>
            </w:pPr>
            <w:r>
              <w:rPr>
                <w:rFonts w:hint="eastAsia" w:ascii="仿宋_GB2312" w:hAnsi="仿宋_GB2312" w:cs="仿宋_GB2312"/>
                <w:kern w:val="0"/>
                <w:sz w:val="28"/>
                <w:szCs w:val="28"/>
              </w:rPr>
              <w:t>属于被征地单位留用地面积</w:t>
            </w:r>
          </w:p>
        </w:tc>
        <w:tc>
          <w:tcPr>
            <w:tcW w:w="399" w:type="pct"/>
            <w:vMerge w:val="restart"/>
            <w:shd w:val="clear" w:color="auto" w:fill="FFFFFF"/>
            <w:noWrap w:val="0"/>
            <w:vAlign w:val="center"/>
          </w:tcPr>
          <w:p w14:paraId="6159C7C6">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仿宋_GB2312" w:hAnsi="仿宋_GB2312" w:cs="仿宋_GB2312"/>
                <w:kern w:val="0"/>
                <w:sz w:val="28"/>
                <w:szCs w:val="28"/>
              </w:rPr>
            </w:pPr>
            <w:r>
              <w:rPr>
                <w:rFonts w:hint="eastAsia" w:ascii="仿宋_GB2312" w:hAnsi="仿宋_GB2312" w:cs="仿宋_GB2312"/>
                <w:kern w:val="0"/>
                <w:sz w:val="28"/>
                <w:szCs w:val="28"/>
              </w:rPr>
              <w:t>需保障人数</w:t>
            </w:r>
          </w:p>
        </w:tc>
        <w:tc>
          <w:tcPr>
            <w:tcW w:w="528" w:type="pct"/>
            <w:vMerge w:val="restart"/>
            <w:shd w:val="clear" w:color="auto" w:fill="FFFFFF"/>
            <w:noWrap w:val="0"/>
            <w:vAlign w:val="center"/>
          </w:tcPr>
          <w:p w14:paraId="64D85C83">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仿宋_GB2312" w:hAnsi="仿宋_GB2312" w:cs="仿宋_GB2312"/>
                <w:kern w:val="0"/>
                <w:sz w:val="28"/>
                <w:szCs w:val="28"/>
              </w:rPr>
            </w:pPr>
            <w:r>
              <w:rPr>
                <w:rFonts w:hint="eastAsia" w:ascii="仿宋_GB2312" w:hAnsi="仿宋_GB2312" w:cs="仿宋_GB2312"/>
                <w:kern w:val="0"/>
                <w:sz w:val="28"/>
                <w:szCs w:val="28"/>
              </w:rPr>
              <w:t>需计提征地社保费</w:t>
            </w:r>
          </w:p>
        </w:tc>
      </w:tr>
      <w:tr w14:paraId="25BB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607" w:type="pct"/>
            <w:gridSpan w:val="2"/>
            <w:vMerge w:val="continue"/>
            <w:shd w:val="clear" w:color="auto" w:fill="auto"/>
            <w:noWrap w:val="0"/>
            <w:vAlign w:val="center"/>
          </w:tcPr>
          <w:p w14:paraId="06941677">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eastAsia" w:ascii="仿宋_GB2312" w:hAnsi="仿宋_GB2312" w:cs="仿宋_GB2312"/>
                <w:kern w:val="0"/>
                <w:sz w:val="28"/>
                <w:szCs w:val="28"/>
              </w:rPr>
            </w:pPr>
          </w:p>
        </w:tc>
        <w:tc>
          <w:tcPr>
            <w:tcW w:w="466" w:type="pct"/>
            <w:shd w:val="clear" w:color="auto" w:fill="FFFFFF"/>
            <w:noWrap w:val="0"/>
            <w:vAlign w:val="center"/>
          </w:tcPr>
          <w:p w14:paraId="697A246E">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eastAsia" w:ascii="仿宋_GB2312" w:hAnsi="仿宋_GB2312" w:cs="仿宋_GB2312"/>
                <w:kern w:val="0"/>
                <w:sz w:val="28"/>
                <w:szCs w:val="28"/>
              </w:rPr>
            </w:pPr>
            <w:r>
              <w:rPr>
                <w:rFonts w:hint="eastAsia" w:ascii="仿宋_GB2312" w:hAnsi="仿宋_GB2312" w:cs="仿宋_GB2312"/>
                <w:kern w:val="0"/>
                <w:sz w:val="28"/>
                <w:szCs w:val="28"/>
              </w:rPr>
              <w:t>合计</w:t>
            </w:r>
          </w:p>
        </w:tc>
        <w:tc>
          <w:tcPr>
            <w:tcW w:w="506" w:type="pct"/>
            <w:shd w:val="clear" w:color="auto" w:fill="FFFFFF"/>
            <w:noWrap w:val="0"/>
            <w:vAlign w:val="center"/>
          </w:tcPr>
          <w:p w14:paraId="6E0588F9">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仿宋_GB2312" w:hAnsi="仿宋_GB2312" w:cs="仿宋_GB2312"/>
                <w:kern w:val="0"/>
                <w:sz w:val="28"/>
                <w:szCs w:val="28"/>
              </w:rPr>
            </w:pPr>
            <w:r>
              <w:rPr>
                <w:rFonts w:hint="eastAsia" w:ascii="仿宋_GB2312" w:hAnsi="仿宋_GB2312" w:cs="仿宋_GB2312"/>
                <w:kern w:val="0"/>
                <w:sz w:val="28"/>
                <w:szCs w:val="28"/>
              </w:rPr>
              <w:t>农用地</w:t>
            </w:r>
          </w:p>
        </w:tc>
        <w:tc>
          <w:tcPr>
            <w:tcW w:w="443" w:type="pct"/>
            <w:shd w:val="clear" w:color="auto" w:fill="FFFFFF"/>
            <w:noWrap w:val="0"/>
            <w:vAlign w:val="center"/>
          </w:tcPr>
          <w:p w14:paraId="3C87881A">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仿宋_GB2312" w:hAnsi="仿宋_GB2312" w:cs="仿宋_GB2312"/>
                <w:kern w:val="0"/>
                <w:sz w:val="28"/>
                <w:szCs w:val="28"/>
              </w:rPr>
            </w:pPr>
            <w:r>
              <w:rPr>
                <w:rFonts w:hint="eastAsia" w:ascii="仿宋_GB2312" w:hAnsi="仿宋_GB2312" w:cs="仿宋_GB2312"/>
                <w:kern w:val="0"/>
                <w:sz w:val="28"/>
                <w:szCs w:val="28"/>
              </w:rPr>
              <w:t>建设用地</w:t>
            </w:r>
          </w:p>
        </w:tc>
        <w:tc>
          <w:tcPr>
            <w:tcW w:w="459" w:type="pct"/>
            <w:shd w:val="clear" w:color="auto" w:fill="FFFFFF"/>
            <w:noWrap w:val="0"/>
            <w:vAlign w:val="center"/>
          </w:tcPr>
          <w:p w14:paraId="2346F00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仿宋_GB2312" w:hAnsi="仿宋_GB2312" w:cs="仿宋_GB2312"/>
                <w:kern w:val="0"/>
                <w:sz w:val="28"/>
                <w:szCs w:val="28"/>
              </w:rPr>
            </w:pPr>
            <w:r>
              <w:rPr>
                <w:rFonts w:hint="eastAsia" w:ascii="仿宋_GB2312" w:hAnsi="仿宋_GB2312" w:cs="仿宋_GB2312"/>
                <w:kern w:val="0"/>
                <w:sz w:val="28"/>
                <w:szCs w:val="28"/>
              </w:rPr>
              <w:t>未利用地</w:t>
            </w:r>
          </w:p>
        </w:tc>
        <w:tc>
          <w:tcPr>
            <w:tcW w:w="588" w:type="pct"/>
            <w:vMerge w:val="continue"/>
            <w:noWrap w:val="0"/>
            <w:vAlign w:val="center"/>
          </w:tcPr>
          <w:p w14:paraId="534F2E8B">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eastAsia" w:ascii="仿宋_GB2312" w:hAnsi="仿宋_GB2312" w:cs="仿宋_GB2312"/>
                <w:kern w:val="0"/>
                <w:sz w:val="28"/>
                <w:szCs w:val="28"/>
              </w:rPr>
            </w:pPr>
          </w:p>
        </w:tc>
        <w:tc>
          <w:tcPr>
            <w:tcW w:w="399" w:type="pct"/>
            <w:vMerge w:val="continue"/>
            <w:noWrap w:val="0"/>
            <w:vAlign w:val="center"/>
          </w:tcPr>
          <w:p w14:paraId="5329A810">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eastAsia" w:ascii="仿宋_GB2312" w:hAnsi="仿宋_GB2312" w:cs="仿宋_GB2312"/>
                <w:kern w:val="0"/>
                <w:sz w:val="28"/>
                <w:szCs w:val="28"/>
              </w:rPr>
            </w:pPr>
          </w:p>
        </w:tc>
        <w:tc>
          <w:tcPr>
            <w:tcW w:w="528" w:type="pct"/>
            <w:vMerge w:val="continue"/>
            <w:noWrap w:val="0"/>
            <w:vAlign w:val="center"/>
          </w:tcPr>
          <w:p w14:paraId="0E30D695">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eastAsia" w:ascii="仿宋_GB2312" w:hAnsi="仿宋_GB2312" w:cs="仿宋_GB2312"/>
                <w:kern w:val="0"/>
                <w:sz w:val="28"/>
                <w:szCs w:val="28"/>
              </w:rPr>
            </w:pPr>
          </w:p>
        </w:tc>
      </w:tr>
      <w:tr w14:paraId="6D7C4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77" w:type="pct"/>
            <w:vMerge w:val="restart"/>
            <w:shd w:val="clear" w:color="auto" w:fill="FFFFFF"/>
            <w:noWrap w:val="0"/>
            <w:vAlign w:val="center"/>
          </w:tcPr>
          <w:p w14:paraId="1B1239FA">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cs="仿宋_GB2312"/>
                <w:kern w:val="0"/>
                <w:sz w:val="28"/>
                <w:szCs w:val="28"/>
                <w:lang w:val="en-US" w:eastAsia="zh-CN"/>
              </w:rPr>
              <w:t>花城街</w:t>
            </w:r>
          </w:p>
        </w:tc>
        <w:tc>
          <w:tcPr>
            <w:tcW w:w="1330" w:type="pct"/>
            <w:shd w:val="clear" w:color="auto" w:fill="FFFFFF"/>
            <w:noWrap w:val="0"/>
            <w:vAlign w:val="center"/>
          </w:tcPr>
          <w:p w14:paraId="3D42F260">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eastAsia" w:ascii="仿宋_GB2312" w:hAnsi="仿宋_GB2312" w:cs="仿宋_GB2312"/>
                <w:kern w:val="0"/>
                <w:sz w:val="28"/>
                <w:szCs w:val="28"/>
              </w:rPr>
            </w:pPr>
            <w:r>
              <w:rPr>
                <w:rFonts w:hint="eastAsia" w:ascii="仿宋_GB2312" w:hAnsi="仿宋_GB2312" w:cs="仿宋_GB2312"/>
                <w:kern w:val="0"/>
                <w:sz w:val="28"/>
                <w:szCs w:val="28"/>
              </w:rPr>
              <w:t>东边昌一经济合作社</w:t>
            </w:r>
          </w:p>
        </w:tc>
        <w:tc>
          <w:tcPr>
            <w:tcW w:w="466" w:type="pct"/>
            <w:shd w:val="clear" w:color="auto" w:fill="FFFFFF"/>
            <w:noWrap w:val="0"/>
            <w:vAlign w:val="center"/>
          </w:tcPr>
          <w:p w14:paraId="1D206825">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5</w:t>
            </w:r>
            <w:r>
              <w:rPr>
                <w:rFonts w:hint="default" w:ascii="Times New Roman" w:hAnsi="Times New Roman" w:cs="Times New Roman"/>
                <w:kern w:val="0"/>
                <w:sz w:val="24"/>
                <w:szCs w:val="24"/>
              </w:rPr>
              <w:t>.3670</w:t>
            </w:r>
          </w:p>
        </w:tc>
        <w:tc>
          <w:tcPr>
            <w:tcW w:w="506" w:type="pct"/>
            <w:shd w:val="clear" w:color="auto" w:fill="FFFFFF"/>
            <w:noWrap w:val="0"/>
            <w:vAlign w:val="center"/>
          </w:tcPr>
          <w:p w14:paraId="3173C85F">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0</w:t>
            </w:r>
          </w:p>
        </w:tc>
        <w:tc>
          <w:tcPr>
            <w:tcW w:w="443" w:type="pct"/>
            <w:shd w:val="clear" w:color="auto" w:fill="FFFFFF"/>
            <w:noWrap w:val="0"/>
            <w:vAlign w:val="center"/>
          </w:tcPr>
          <w:p w14:paraId="6484E775">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5</w:t>
            </w:r>
            <w:r>
              <w:rPr>
                <w:rFonts w:hint="default" w:ascii="Times New Roman" w:hAnsi="Times New Roman" w:cs="Times New Roman"/>
                <w:kern w:val="0"/>
                <w:sz w:val="24"/>
                <w:szCs w:val="24"/>
                <w:lang w:val="en-US" w:eastAsia="zh-CN"/>
              </w:rPr>
              <w:t>.</w:t>
            </w:r>
            <w:r>
              <w:rPr>
                <w:rFonts w:hint="default" w:ascii="Times New Roman" w:hAnsi="Times New Roman" w:cs="Times New Roman"/>
                <w:kern w:val="0"/>
                <w:sz w:val="24"/>
                <w:szCs w:val="24"/>
              </w:rPr>
              <w:t>367</w:t>
            </w:r>
          </w:p>
        </w:tc>
        <w:tc>
          <w:tcPr>
            <w:tcW w:w="459" w:type="pct"/>
            <w:shd w:val="clear" w:color="auto" w:fill="FFFFFF"/>
            <w:noWrap w:val="0"/>
            <w:vAlign w:val="center"/>
          </w:tcPr>
          <w:p w14:paraId="0759905D">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cs="Times New Roman"/>
                <w:kern w:val="0"/>
                <w:sz w:val="24"/>
                <w:szCs w:val="24"/>
              </w:rPr>
            </w:pPr>
          </w:p>
        </w:tc>
        <w:tc>
          <w:tcPr>
            <w:tcW w:w="588" w:type="pct"/>
            <w:shd w:val="clear" w:color="auto" w:fill="FFFFFF"/>
            <w:noWrap w:val="0"/>
            <w:vAlign w:val="center"/>
          </w:tcPr>
          <w:p w14:paraId="7A1A7AD9">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cs="Times New Roman"/>
                <w:kern w:val="0"/>
                <w:sz w:val="24"/>
                <w:szCs w:val="24"/>
              </w:rPr>
            </w:pPr>
          </w:p>
        </w:tc>
        <w:tc>
          <w:tcPr>
            <w:tcW w:w="399" w:type="pct"/>
            <w:shd w:val="clear" w:color="auto" w:fill="FFFFFF"/>
            <w:noWrap w:val="0"/>
            <w:vAlign w:val="center"/>
          </w:tcPr>
          <w:p w14:paraId="60E88807">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6</w:t>
            </w:r>
          </w:p>
        </w:tc>
        <w:tc>
          <w:tcPr>
            <w:tcW w:w="528" w:type="pct"/>
            <w:shd w:val="clear" w:color="auto" w:fill="FFFFFF"/>
            <w:noWrap w:val="0"/>
            <w:vAlign w:val="center"/>
          </w:tcPr>
          <w:p w14:paraId="0AC08E4A">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9.72</w:t>
            </w:r>
          </w:p>
        </w:tc>
      </w:tr>
      <w:tr w14:paraId="1228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77" w:type="pct"/>
            <w:vMerge w:val="continue"/>
            <w:shd w:val="clear" w:color="auto" w:fill="FFFFFF"/>
            <w:noWrap w:val="0"/>
            <w:vAlign w:val="center"/>
          </w:tcPr>
          <w:p w14:paraId="67A436DF">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eastAsia" w:ascii="仿宋_GB2312" w:hAnsi="仿宋_GB2312" w:cs="仿宋_GB2312"/>
                <w:kern w:val="0"/>
                <w:sz w:val="28"/>
                <w:szCs w:val="28"/>
              </w:rPr>
            </w:pPr>
          </w:p>
        </w:tc>
        <w:tc>
          <w:tcPr>
            <w:tcW w:w="1330" w:type="pct"/>
            <w:shd w:val="clear" w:color="auto" w:fill="FFFFFF"/>
            <w:noWrap w:val="0"/>
            <w:vAlign w:val="center"/>
          </w:tcPr>
          <w:p w14:paraId="413E3696">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eastAsia" w:ascii="仿宋_GB2312" w:hAnsi="仿宋_GB2312" w:cs="仿宋_GB2312"/>
                <w:kern w:val="0"/>
                <w:sz w:val="28"/>
                <w:szCs w:val="28"/>
              </w:rPr>
            </w:pPr>
            <w:r>
              <w:rPr>
                <w:rFonts w:hint="eastAsia" w:ascii="仿宋_GB2312" w:hAnsi="仿宋_GB2312" w:cs="仿宋_GB2312"/>
                <w:kern w:val="0"/>
                <w:sz w:val="28"/>
                <w:szCs w:val="28"/>
              </w:rPr>
              <w:t>东边溶和经济合作社</w:t>
            </w:r>
          </w:p>
        </w:tc>
        <w:tc>
          <w:tcPr>
            <w:tcW w:w="466" w:type="pct"/>
            <w:shd w:val="clear" w:color="auto" w:fill="FFFFFF"/>
            <w:noWrap w:val="0"/>
            <w:vAlign w:val="center"/>
          </w:tcPr>
          <w:p w14:paraId="3E905097">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2.</w:t>
            </w:r>
            <w:r>
              <w:rPr>
                <w:rFonts w:hint="default" w:ascii="Times New Roman" w:hAnsi="Times New Roman" w:cs="Times New Roman"/>
                <w:kern w:val="0"/>
                <w:sz w:val="24"/>
                <w:szCs w:val="24"/>
              </w:rPr>
              <w:t>139</w:t>
            </w:r>
            <w:r>
              <w:rPr>
                <w:rFonts w:hint="default" w:ascii="Times New Roman" w:hAnsi="Times New Roman" w:cs="Times New Roman"/>
                <w:kern w:val="0"/>
                <w:sz w:val="24"/>
                <w:szCs w:val="24"/>
                <w:lang w:val="en-US" w:eastAsia="zh-CN"/>
              </w:rPr>
              <w:t>0</w:t>
            </w:r>
          </w:p>
        </w:tc>
        <w:tc>
          <w:tcPr>
            <w:tcW w:w="506" w:type="pct"/>
            <w:shd w:val="clear" w:color="auto" w:fill="FFFFFF"/>
            <w:noWrap w:val="0"/>
            <w:vAlign w:val="center"/>
          </w:tcPr>
          <w:p w14:paraId="7A5304BA">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0</w:t>
            </w:r>
          </w:p>
        </w:tc>
        <w:tc>
          <w:tcPr>
            <w:tcW w:w="443" w:type="pct"/>
            <w:shd w:val="clear" w:color="auto" w:fill="FFFFFF"/>
            <w:noWrap w:val="0"/>
            <w:vAlign w:val="center"/>
          </w:tcPr>
          <w:p w14:paraId="29AC3AA9">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2.139</w:t>
            </w:r>
          </w:p>
        </w:tc>
        <w:tc>
          <w:tcPr>
            <w:tcW w:w="459" w:type="pct"/>
            <w:shd w:val="clear" w:color="auto" w:fill="FFFFFF"/>
            <w:noWrap w:val="0"/>
            <w:vAlign w:val="center"/>
          </w:tcPr>
          <w:p w14:paraId="2D228075">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cs="Times New Roman"/>
                <w:kern w:val="0"/>
                <w:sz w:val="24"/>
                <w:szCs w:val="24"/>
              </w:rPr>
            </w:pPr>
          </w:p>
        </w:tc>
        <w:tc>
          <w:tcPr>
            <w:tcW w:w="588" w:type="pct"/>
            <w:shd w:val="clear" w:color="auto" w:fill="FFFFFF"/>
            <w:noWrap w:val="0"/>
            <w:vAlign w:val="center"/>
          </w:tcPr>
          <w:p w14:paraId="106FF107">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cs="Times New Roman"/>
                <w:kern w:val="0"/>
                <w:sz w:val="24"/>
                <w:szCs w:val="24"/>
              </w:rPr>
            </w:pPr>
          </w:p>
        </w:tc>
        <w:tc>
          <w:tcPr>
            <w:tcW w:w="399" w:type="pct"/>
            <w:shd w:val="clear" w:color="auto" w:fill="FFFFFF"/>
            <w:noWrap w:val="0"/>
            <w:vAlign w:val="center"/>
          </w:tcPr>
          <w:p w14:paraId="754BBA23">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3</w:t>
            </w:r>
          </w:p>
        </w:tc>
        <w:tc>
          <w:tcPr>
            <w:tcW w:w="528" w:type="pct"/>
            <w:shd w:val="clear" w:color="auto" w:fill="FFFFFF"/>
            <w:noWrap w:val="0"/>
            <w:vAlign w:val="center"/>
          </w:tcPr>
          <w:p w14:paraId="2BFDD788">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4.86</w:t>
            </w:r>
          </w:p>
        </w:tc>
      </w:tr>
      <w:tr w14:paraId="64307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77" w:type="pct"/>
            <w:vMerge w:val="continue"/>
            <w:shd w:val="clear" w:color="auto" w:fill="FFFFFF"/>
            <w:noWrap w:val="0"/>
            <w:vAlign w:val="center"/>
          </w:tcPr>
          <w:p w14:paraId="450E514F">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eastAsia" w:ascii="仿宋_GB2312" w:hAnsi="仿宋_GB2312" w:cs="仿宋_GB2312"/>
                <w:kern w:val="0"/>
                <w:sz w:val="28"/>
                <w:szCs w:val="28"/>
              </w:rPr>
            </w:pPr>
          </w:p>
        </w:tc>
        <w:tc>
          <w:tcPr>
            <w:tcW w:w="1330" w:type="pct"/>
            <w:shd w:val="clear" w:color="auto" w:fill="FFFFFF"/>
            <w:noWrap w:val="0"/>
            <w:vAlign w:val="center"/>
          </w:tcPr>
          <w:p w14:paraId="0DA0F90F">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eastAsia" w:ascii="仿宋_GB2312" w:hAnsi="仿宋_GB2312" w:cs="仿宋_GB2312"/>
                <w:kern w:val="0"/>
                <w:sz w:val="28"/>
                <w:szCs w:val="28"/>
              </w:rPr>
            </w:pPr>
            <w:r>
              <w:rPr>
                <w:rFonts w:hint="eastAsia" w:ascii="仿宋_GB2312" w:hAnsi="仿宋_GB2312" w:cs="仿宋_GB2312"/>
                <w:kern w:val="0"/>
                <w:sz w:val="28"/>
                <w:szCs w:val="28"/>
              </w:rPr>
              <w:t>东边昌二经济合作社</w:t>
            </w:r>
          </w:p>
        </w:tc>
        <w:tc>
          <w:tcPr>
            <w:tcW w:w="466" w:type="pct"/>
            <w:shd w:val="clear" w:color="auto" w:fill="FFFFFF"/>
            <w:noWrap w:val="0"/>
            <w:vAlign w:val="center"/>
          </w:tcPr>
          <w:p w14:paraId="5E3D6D77">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6.8490</w:t>
            </w:r>
          </w:p>
        </w:tc>
        <w:tc>
          <w:tcPr>
            <w:tcW w:w="506" w:type="pct"/>
            <w:shd w:val="clear" w:color="auto" w:fill="FFFFFF"/>
            <w:noWrap w:val="0"/>
            <w:vAlign w:val="center"/>
          </w:tcPr>
          <w:p w14:paraId="0850BE8E">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0</w:t>
            </w:r>
          </w:p>
        </w:tc>
        <w:tc>
          <w:tcPr>
            <w:tcW w:w="443" w:type="pct"/>
            <w:shd w:val="clear" w:color="auto" w:fill="FFFFFF"/>
            <w:noWrap w:val="0"/>
            <w:vAlign w:val="center"/>
          </w:tcPr>
          <w:p w14:paraId="2DA8E87B">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6.849</w:t>
            </w:r>
          </w:p>
        </w:tc>
        <w:tc>
          <w:tcPr>
            <w:tcW w:w="459" w:type="pct"/>
            <w:shd w:val="clear" w:color="auto" w:fill="FFFFFF"/>
            <w:noWrap w:val="0"/>
            <w:vAlign w:val="center"/>
          </w:tcPr>
          <w:p w14:paraId="3C61B3E8">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cs="Times New Roman"/>
                <w:kern w:val="0"/>
                <w:sz w:val="24"/>
                <w:szCs w:val="24"/>
              </w:rPr>
            </w:pPr>
          </w:p>
        </w:tc>
        <w:tc>
          <w:tcPr>
            <w:tcW w:w="588" w:type="pct"/>
            <w:shd w:val="clear" w:color="auto" w:fill="FFFFFF"/>
            <w:noWrap w:val="0"/>
            <w:vAlign w:val="center"/>
          </w:tcPr>
          <w:p w14:paraId="691F66EB">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cs="Times New Roman"/>
                <w:kern w:val="0"/>
                <w:sz w:val="24"/>
                <w:szCs w:val="24"/>
              </w:rPr>
            </w:pPr>
          </w:p>
        </w:tc>
        <w:tc>
          <w:tcPr>
            <w:tcW w:w="399" w:type="pct"/>
            <w:shd w:val="clear" w:color="auto" w:fill="FFFFFF"/>
            <w:noWrap w:val="0"/>
            <w:vAlign w:val="center"/>
          </w:tcPr>
          <w:p w14:paraId="6BEFF571">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8</w:t>
            </w:r>
          </w:p>
        </w:tc>
        <w:tc>
          <w:tcPr>
            <w:tcW w:w="528" w:type="pct"/>
            <w:shd w:val="clear" w:color="auto" w:fill="FFFFFF"/>
            <w:noWrap w:val="0"/>
            <w:vAlign w:val="center"/>
          </w:tcPr>
          <w:p w14:paraId="1E4075B5">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12.96</w:t>
            </w:r>
          </w:p>
        </w:tc>
      </w:tr>
      <w:tr w14:paraId="5F8B5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77" w:type="pct"/>
            <w:vMerge w:val="continue"/>
            <w:shd w:val="clear" w:color="auto" w:fill="FFFFFF"/>
            <w:noWrap w:val="0"/>
            <w:vAlign w:val="center"/>
          </w:tcPr>
          <w:p w14:paraId="5EBBE1F0">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eastAsia" w:ascii="仿宋_GB2312" w:hAnsi="仿宋_GB2312" w:cs="仿宋_GB2312"/>
                <w:kern w:val="0"/>
                <w:sz w:val="28"/>
                <w:szCs w:val="28"/>
              </w:rPr>
            </w:pPr>
          </w:p>
        </w:tc>
        <w:tc>
          <w:tcPr>
            <w:tcW w:w="1330" w:type="pct"/>
            <w:shd w:val="clear" w:color="auto" w:fill="FFFFFF"/>
            <w:noWrap w:val="0"/>
            <w:vAlign w:val="center"/>
          </w:tcPr>
          <w:p w14:paraId="05EC34D9">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eastAsia" w:ascii="仿宋_GB2312" w:hAnsi="仿宋_GB2312" w:cs="仿宋_GB2312"/>
                <w:kern w:val="0"/>
                <w:sz w:val="28"/>
                <w:szCs w:val="28"/>
              </w:rPr>
            </w:pPr>
            <w:r>
              <w:rPr>
                <w:rFonts w:hint="eastAsia" w:ascii="仿宋_GB2312" w:hAnsi="仿宋_GB2312" w:cs="仿宋_GB2312"/>
                <w:kern w:val="0"/>
                <w:sz w:val="28"/>
                <w:szCs w:val="28"/>
              </w:rPr>
              <w:t>东边溶和经济合作社</w:t>
            </w:r>
          </w:p>
        </w:tc>
        <w:tc>
          <w:tcPr>
            <w:tcW w:w="466" w:type="pct"/>
            <w:shd w:val="clear" w:color="auto" w:fill="FFFFFF"/>
            <w:noWrap w:val="0"/>
            <w:vAlign w:val="center"/>
          </w:tcPr>
          <w:p w14:paraId="69EA6328">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5.6910</w:t>
            </w:r>
          </w:p>
        </w:tc>
        <w:tc>
          <w:tcPr>
            <w:tcW w:w="506" w:type="pct"/>
            <w:shd w:val="clear" w:color="auto" w:fill="FFFFFF"/>
            <w:noWrap w:val="0"/>
            <w:vAlign w:val="center"/>
          </w:tcPr>
          <w:p w14:paraId="5D2AA9D9">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0.7365</w:t>
            </w:r>
          </w:p>
        </w:tc>
        <w:tc>
          <w:tcPr>
            <w:tcW w:w="443" w:type="pct"/>
            <w:shd w:val="clear" w:color="auto" w:fill="FFFFFF"/>
            <w:noWrap w:val="0"/>
            <w:vAlign w:val="center"/>
          </w:tcPr>
          <w:p w14:paraId="580C838D">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4.9545</w:t>
            </w:r>
          </w:p>
        </w:tc>
        <w:tc>
          <w:tcPr>
            <w:tcW w:w="459" w:type="pct"/>
            <w:shd w:val="clear" w:color="auto" w:fill="FFFFFF"/>
            <w:noWrap w:val="0"/>
            <w:vAlign w:val="center"/>
          </w:tcPr>
          <w:p w14:paraId="02FD4421">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cs="Times New Roman"/>
                <w:kern w:val="0"/>
                <w:sz w:val="24"/>
                <w:szCs w:val="24"/>
              </w:rPr>
            </w:pPr>
          </w:p>
        </w:tc>
        <w:tc>
          <w:tcPr>
            <w:tcW w:w="588" w:type="pct"/>
            <w:shd w:val="clear" w:color="auto" w:fill="FFFFFF"/>
            <w:noWrap w:val="0"/>
            <w:vAlign w:val="center"/>
          </w:tcPr>
          <w:p w14:paraId="5A3115D5">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cs="Times New Roman"/>
                <w:kern w:val="0"/>
                <w:sz w:val="24"/>
                <w:szCs w:val="24"/>
              </w:rPr>
            </w:pPr>
          </w:p>
        </w:tc>
        <w:tc>
          <w:tcPr>
            <w:tcW w:w="399" w:type="pct"/>
            <w:shd w:val="clear" w:color="auto" w:fill="FFFFFF"/>
            <w:noWrap w:val="0"/>
            <w:vAlign w:val="center"/>
          </w:tcPr>
          <w:p w14:paraId="08EEB2D4">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7</w:t>
            </w:r>
          </w:p>
        </w:tc>
        <w:tc>
          <w:tcPr>
            <w:tcW w:w="528" w:type="pct"/>
            <w:shd w:val="clear" w:color="auto" w:fill="FFFFFF"/>
            <w:noWrap w:val="0"/>
            <w:vAlign w:val="center"/>
          </w:tcPr>
          <w:p w14:paraId="0FAA4942">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11.34</w:t>
            </w:r>
          </w:p>
        </w:tc>
      </w:tr>
      <w:tr w14:paraId="12F64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77" w:type="pct"/>
            <w:vMerge w:val="continue"/>
            <w:shd w:val="clear" w:color="auto" w:fill="FFFFFF"/>
            <w:noWrap w:val="0"/>
            <w:vAlign w:val="center"/>
          </w:tcPr>
          <w:p w14:paraId="53303DC8">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eastAsia" w:ascii="仿宋_GB2312" w:hAnsi="仿宋_GB2312" w:cs="仿宋_GB2312"/>
                <w:kern w:val="0"/>
                <w:sz w:val="28"/>
                <w:szCs w:val="28"/>
              </w:rPr>
            </w:pPr>
          </w:p>
        </w:tc>
        <w:tc>
          <w:tcPr>
            <w:tcW w:w="1330" w:type="pct"/>
            <w:shd w:val="clear" w:color="auto" w:fill="FFFFFF"/>
            <w:noWrap w:val="0"/>
            <w:vAlign w:val="center"/>
          </w:tcPr>
          <w:p w14:paraId="3ABEBE47">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eastAsia" w:ascii="仿宋_GB2312" w:hAnsi="仿宋_GB2312" w:cs="仿宋_GB2312"/>
                <w:kern w:val="0"/>
                <w:sz w:val="28"/>
                <w:szCs w:val="28"/>
              </w:rPr>
            </w:pPr>
            <w:r>
              <w:rPr>
                <w:rFonts w:hint="eastAsia" w:ascii="仿宋_GB2312" w:hAnsi="仿宋_GB2312" w:cs="仿宋_GB2312"/>
                <w:kern w:val="0"/>
                <w:sz w:val="28"/>
                <w:szCs w:val="28"/>
              </w:rPr>
              <w:t>东边东成经济合作社</w:t>
            </w:r>
          </w:p>
        </w:tc>
        <w:tc>
          <w:tcPr>
            <w:tcW w:w="466" w:type="pct"/>
            <w:shd w:val="clear" w:color="auto" w:fill="FFFFFF"/>
            <w:noWrap w:val="0"/>
            <w:vAlign w:val="center"/>
          </w:tcPr>
          <w:p w14:paraId="76157BB0">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3.4425</w:t>
            </w:r>
          </w:p>
        </w:tc>
        <w:tc>
          <w:tcPr>
            <w:tcW w:w="506" w:type="pct"/>
            <w:shd w:val="clear" w:color="auto" w:fill="FFFFFF"/>
            <w:noWrap w:val="0"/>
            <w:vAlign w:val="center"/>
          </w:tcPr>
          <w:p w14:paraId="62D5C12A">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0</w:t>
            </w:r>
          </w:p>
        </w:tc>
        <w:tc>
          <w:tcPr>
            <w:tcW w:w="443" w:type="pct"/>
            <w:shd w:val="clear" w:color="auto" w:fill="FFFFFF"/>
            <w:noWrap w:val="0"/>
            <w:vAlign w:val="center"/>
          </w:tcPr>
          <w:p w14:paraId="1BCEDEEE">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3.4425</w:t>
            </w:r>
          </w:p>
        </w:tc>
        <w:tc>
          <w:tcPr>
            <w:tcW w:w="459" w:type="pct"/>
            <w:shd w:val="clear" w:color="auto" w:fill="FFFFFF"/>
            <w:noWrap w:val="0"/>
            <w:vAlign w:val="center"/>
          </w:tcPr>
          <w:p w14:paraId="00F9C21D">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cs="Times New Roman"/>
                <w:kern w:val="0"/>
                <w:sz w:val="24"/>
                <w:szCs w:val="24"/>
              </w:rPr>
            </w:pPr>
          </w:p>
        </w:tc>
        <w:tc>
          <w:tcPr>
            <w:tcW w:w="588" w:type="pct"/>
            <w:shd w:val="clear" w:color="auto" w:fill="FFFFFF"/>
            <w:noWrap w:val="0"/>
            <w:vAlign w:val="center"/>
          </w:tcPr>
          <w:p w14:paraId="718E23A4">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cs="Times New Roman"/>
                <w:kern w:val="0"/>
                <w:sz w:val="24"/>
                <w:szCs w:val="24"/>
              </w:rPr>
            </w:pPr>
          </w:p>
        </w:tc>
        <w:tc>
          <w:tcPr>
            <w:tcW w:w="399" w:type="pct"/>
            <w:shd w:val="clear" w:color="auto" w:fill="FFFFFF"/>
            <w:noWrap w:val="0"/>
            <w:vAlign w:val="center"/>
          </w:tcPr>
          <w:p w14:paraId="0360C2A7">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4</w:t>
            </w:r>
          </w:p>
        </w:tc>
        <w:tc>
          <w:tcPr>
            <w:tcW w:w="528" w:type="pct"/>
            <w:shd w:val="clear" w:color="auto" w:fill="FFFFFF"/>
            <w:noWrap w:val="0"/>
            <w:vAlign w:val="center"/>
          </w:tcPr>
          <w:p w14:paraId="346E417E">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6.48</w:t>
            </w:r>
          </w:p>
        </w:tc>
      </w:tr>
      <w:tr w14:paraId="181F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77" w:type="pct"/>
            <w:vMerge w:val="continue"/>
            <w:shd w:val="clear" w:color="auto" w:fill="FFFFFF"/>
            <w:noWrap w:val="0"/>
            <w:vAlign w:val="center"/>
          </w:tcPr>
          <w:p w14:paraId="1B67A91C">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eastAsia" w:ascii="仿宋_GB2312" w:hAnsi="仿宋_GB2312" w:cs="仿宋_GB2312"/>
                <w:kern w:val="0"/>
                <w:sz w:val="28"/>
                <w:szCs w:val="28"/>
              </w:rPr>
            </w:pPr>
          </w:p>
        </w:tc>
        <w:tc>
          <w:tcPr>
            <w:tcW w:w="1330" w:type="pct"/>
            <w:shd w:val="clear" w:color="auto" w:fill="FFFFFF"/>
            <w:noWrap w:val="0"/>
            <w:vAlign w:val="center"/>
          </w:tcPr>
          <w:p w14:paraId="111633AD">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eastAsia" w:ascii="仿宋_GB2312" w:hAnsi="仿宋_GB2312" w:cs="仿宋_GB2312"/>
                <w:kern w:val="0"/>
                <w:sz w:val="28"/>
                <w:szCs w:val="28"/>
              </w:rPr>
            </w:pPr>
            <w:r>
              <w:rPr>
                <w:rFonts w:hint="eastAsia" w:ascii="仿宋_GB2312" w:hAnsi="仿宋_GB2312" w:cs="仿宋_GB2312"/>
                <w:kern w:val="0"/>
                <w:sz w:val="28"/>
                <w:szCs w:val="28"/>
              </w:rPr>
              <w:t>东边南一经济合作社</w:t>
            </w:r>
          </w:p>
        </w:tc>
        <w:tc>
          <w:tcPr>
            <w:tcW w:w="466" w:type="pct"/>
            <w:shd w:val="clear" w:color="auto" w:fill="FFFFFF"/>
            <w:noWrap w:val="0"/>
            <w:vAlign w:val="center"/>
          </w:tcPr>
          <w:p w14:paraId="055B4D88">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1.0605</w:t>
            </w:r>
          </w:p>
        </w:tc>
        <w:tc>
          <w:tcPr>
            <w:tcW w:w="506" w:type="pct"/>
            <w:shd w:val="clear" w:color="auto" w:fill="FFFFFF"/>
            <w:noWrap w:val="0"/>
            <w:vAlign w:val="center"/>
          </w:tcPr>
          <w:p w14:paraId="04E22EDE">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0.135</w:t>
            </w:r>
          </w:p>
        </w:tc>
        <w:tc>
          <w:tcPr>
            <w:tcW w:w="443" w:type="pct"/>
            <w:shd w:val="clear" w:color="auto" w:fill="FFFFFF"/>
            <w:noWrap w:val="0"/>
            <w:vAlign w:val="center"/>
          </w:tcPr>
          <w:p w14:paraId="7A637FB8">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0.9255</w:t>
            </w:r>
          </w:p>
        </w:tc>
        <w:tc>
          <w:tcPr>
            <w:tcW w:w="459" w:type="pct"/>
            <w:shd w:val="clear" w:color="auto" w:fill="FFFFFF"/>
            <w:noWrap w:val="0"/>
            <w:vAlign w:val="center"/>
          </w:tcPr>
          <w:p w14:paraId="00C0EBF9">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cs="Times New Roman"/>
                <w:kern w:val="0"/>
                <w:sz w:val="24"/>
                <w:szCs w:val="24"/>
              </w:rPr>
            </w:pPr>
          </w:p>
        </w:tc>
        <w:tc>
          <w:tcPr>
            <w:tcW w:w="588" w:type="pct"/>
            <w:shd w:val="clear" w:color="auto" w:fill="FFFFFF"/>
            <w:noWrap w:val="0"/>
            <w:vAlign w:val="center"/>
          </w:tcPr>
          <w:p w14:paraId="7B820085">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cs="Times New Roman"/>
                <w:kern w:val="0"/>
                <w:sz w:val="24"/>
                <w:szCs w:val="24"/>
              </w:rPr>
            </w:pPr>
          </w:p>
        </w:tc>
        <w:tc>
          <w:tcPr>
            <w:tcW w:w="399" w:type="pct"/>
            <w:shd w:val="clear" w:color="auto" w:fill="FFFFFF"/>
            <w:noWrap w:val="0"/>
            <w:vAlign w:val="center"/>
          </w:tcPr>
          <w:p w14:paraId="3E32D34C">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2</w:t>
            </w:r>
          </w:p>
        </w:tc>
        <w:tc>
          <w:tcPr>
            <w:tcW w:w="528" w:type="pct"/>
            <w:shd w:val="clear" w:color="auto" w:fill="FFFFFF"/>
            <w:noWrap w:val="0"/>
            <w:vAlign w:val="center"/>
          </w:tcPr>
          <w:p w14:paraId="750F520C">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3</w:t>
            </w:r>
            <w:r>
              <w:rPr>
                <w:rFonts w:hint="default" w:ascii="Times New Roman" w:hAnsi="Times New Roman" w:cs="Times New Roman"/>
                <w:kern w:val="0"/>
                <w:sz w:val="24"/>
                <w:szCs w:val="24"/>
              </w:rPr>
              <w:t>.24</w:t>
            </w:r>
          </w:p>
        </w:tc>
      </w:tr>
      <w:tr w14:paraId="50D6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77" w:type="pct"/>
            <w:vMerge w:val="continue"/>
            <w:shd w:val="clear" w:color="auto" w:fill="FFFFFF"/>
            <w:noWrap w:val="0"/>
            <w:vAlign w:val="center"/>
          </w:tcPr>
          <w:p w14:paraId="61102073">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eastAsia" w:ascii="仿宋_GB2312" w:hAnsi="仿宋_GB2312" w:cs="仿宋_GB2312"/>
                <w:kern w:val="0"/>
                <w:sz w:val="28"/>
                <w:szCs w:val="28"/>
              </w:rPr>
            </w:pPr>
          </w:p>
        </w:tc>
        <w:tc>
          <w:tcPr>
            <w:tcW w:w="1330" w:type="pct"/>
            <w:shd w:val="clear" w:color="auto" w:fill="FFFFFF"/>
            <w:noWrap w:val="0"/>
            <w:vAlign w:val="center"/>
          </w:tcPr>
          <w:p w14:paraId="6B97E1A8">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eastAsia" w:ascii="仿宋_GB2312" w:hAnsi="仿宋_GB2312" w:cs="仿宋_GB2312"/>
                <w:kern w:val="0"/>
                <w:sz w:val="28"/>
                <w:szCs w:val="28"/>
              </w:rPr>
            </w:pPr>
            <w:r>
              <w:rPr>
                <w:rFonts w:hint="eastAsia" w:ascii="仿宋_GB2312" w:hAnsi="仿宋_GB2312" w:cs="仿宋_GB2312"/>
                <w:kern w:val="0"/>
                <w:sz w:val="28"/>
                <w:szCs w:val="28"/>
              </w:rPr>
              <w:t>东边松元经济合作社</w:t>
            </w:r>
          </w:p>
        </w:tc>
        <w:tc>
          <w:tcPr>
            <w:tcW w:w="466" w:type="pct"/>
            <w:shd w:val="clear" w:color="auto" w:fill="FFFFFF"/>
            <w:noWrap w:val="0"/>
            <w:vAlign w:val="center"/>
          </w:tcPr>
          <w:p w14:paraId="3C78AB2A">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6.</w:t>
            </w:r>
            <w:r>
              <w:rPr>
                <w:rFonts w:hint="eastAsia" w:cs="Times New Roman"/>
                <w:kern w:val="0"/>
                <w:sz w:val="24"/>
                <w:szCs w:val="24"/>
                <w:lang w:val="en-US" w:eastAsia="zh-CN"/>
              </w:rPr>
              <w:t>8625</w:t>
            </w:r>
          </w:p>
        </w:tc>
        <w:tc>
          <w:tcPr>
            <w:tcW w:w="506" w:type="pct"/>
            <w:shd w:val="clear" w:color="auto" w:fill="FFFFFF"/>
            <w:noWrap w:val="0"/>
            <w:vAlign w:val="center"/>
          </w:tcPr>
          <w:p w14:paraId="7DF03AA0">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0.</w:t>
            </w:r>
            <w:r>
              <w:rPr>
                <w:rFonts w:hint="eastAsia" w:cs="Times New Roman"/>
                <w:kern w:val="0"/>
                <w:sz w:val="24"/>
                <w:szCs w:val="24"/>
                <w:lang w:val="en-US" w:eastAsia="zh-CN"/>
              </w:rPr>
              <w:t>462</w:t>
            </w:r>
          </w:p>
        </w:tc>
        <w:tc>
          <w:tcPr>
            <w:tcW w:w="443" w:type="pct"/>
            <w:shd w:val="clear" w:color="auto" w:fill="FFFFFF"/>
            <w:noWrap w:val="0"/>
            <w:vAlign w:val="center"/>
          </w:tcPr>
          <w:p w14:paraId="71A89703">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6</w:t>
            </w:r>
            <w:r>
              <w:rPr>
                <w:rFonts w:hint="default" w:ascii="Times New Roman" w:hAnsi="Times New Roman" w:cs="Times New Roman"/>
                <w:kern w:val="0"/>
                <w:sz w:val="24"/>
                <w:szCs w:val="24"/>
                <w:lang w:val="en-US" w:eastAsia="zh-CN"/>
              </w:rPr>
              <w:t>.</w:t>
            </w:r>
            <w:r>
              <w:rPr>
                <w:rFonts w:hint="default" w:ascii="Times New Roman" w:hAnsi="Times New Roman" w:cs="Times New Roman"/>
                <w:kern w:val="0"/>
                <w:sz w:val="24"/>
                <w:szCs w:val="24"/>
              </w:rPr>
              <w:t>4005</w:t>
            </w:r>
          </w:p>
        </w:tc>
        <w:tc>
          <w:tcPr>
            <w:tcW w:w="459" w:type="pct"/>
            <w:shd w:val="clear" w:color="auto" w:fill="FFFFFF"/>
            <w:noWrap w:val="0"/>
            <w:vAlign w:val="center"/>
          </w:tcPr>
          <w:p w14:paraId="55065136">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cs="Times New Roman"/>
                <w:kern w:val="0"/>
                <w:sz w:val="24"/>
                <w:szCs w:val="24"/>
              </w:rPr>
            </w:pPr>
          </w:p>
        </w:tc>
        <w:tc>
          <w:tcPr>
            <w:tcW w:w="588" w:type="pct"/>
            <w:shd w:val="clear" w:color="auto" w:fill="FFFFFF"/>
            <w:noWrap w:val="0"/>
            <w:vAlign w:val="center"/>
          </w:tcPr>
          <w:p w14:paraId="1960A320">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cs="Times New Roman"/>
                <w:kern w:val="0"/>
                <w:sz w:val="24"/>
                <w:szCs w:val="24"/>
              </w:rPr>
            </w:pPr>
          </w:p>
        </w:tc>
        <w:tc>
          <w:tcPr>
            <w:tcW w:w="399" w:type="pct"/>
            <w:shd w:val="clear" w:color="auto" w:fill="FFFFFF"/>
            <w:noWrap w:val="0"/>
            <w:vAlign w:val="center"/>
          </w:tcPr>
          <w:p w14:paraId="10972086">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8</w:t>
            </w:r>
          </w:p>
        </w:tc>
        <w:tc>
          <w:tcPr>
            <w:tcW w:w="528" w:type="pct"/>
            <w:shd w:val="clear" w:color="auto" w:fill="FFFFFF"/>
            <w:noWrap w:val="0"/>
            <w:vAlign w:val="center"/>
          </w:tcPr>
          <w:p w14:paraId="34365A24">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12.96</w:t>
            </w:r>
          </w:p>
        </w:tc>
      </w:tr>
      <w:tr w14:paraId="6B0EF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77" w:type="pct"/>
            <w:vMerge w:val="continue"/>
            <w:shd w:val="clear" w:color="auto" w:fill="FFFFFF"/>
            <w:noWrap w:val="0"/>
            <w:vAlign w:val="center"/>
          </w:tcPr>
          <w:p w14:paraId="4746ECC2">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eastAsia" w:ascii="仿宋_GB2312" w:hAnsi="仿宋_GB2312" w:cs="仿宋_GB2312"/>
                <w:kern w:val="0"/>
                <w:sz w:val="28"/>
                <w:szCs w:val="28"/>
              </w:rPr>
            </w:pPr>
          </w:p>
        </w:tc>
        <w:tc>
          <w:tcPr>
            <w:tcW w:w="1330" w:type="pct"/>
            <w:shd w:val="clear" w:color="auto" w:fill="FFFFFF"/>
            <w:noWrap w:val="0"/>
            <w:vAlign w:val="center"/>
          </w:tcPr>
          <w:p w14:paraId="1413021B">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eastAsia" w:ascii="仿宋_GB2312" w:hAnsi="仿宋_GB2312" w:cs="仿宋_GB2312"/>
                <w:kern w:val="0"/>
                <w:sz w:val="28"/>
                <w:szCs w:val="28"/>
              </w:rPr>
            </w:pPr>
            <w:r>
              <w:rPr>
                <w:rFonts w:hint="eastAsia" w:ascii="仿宋_GB2312" w:hAnsi="仿宋_GB2312" w:cs="仿宋_GB2312"/>
                <w:kern w:val="0"/>
                <w:sz w:val="28"/>
                <w:szCs w:val="28"/>
              </w:rPr>
              <w:t>东边上元经济合作社</w:t>
            </w:r>
          </w:p>
        </w:tc>
        <w:tc>
          <w:tcPr>
            <w:tcW w:w="466" w:type="pct"/>
            <w:shd w:val="clear" w:color="auto" w:fill="FFFFFF"/>
            <w:noWrap w:val="0"/>
            <w:vAlign w:val="center"/>
          </w:tcPr>
          <w:p w14:paraId="4F27AC77">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6.3525</w:t>
            </w:r>
          </w:p>
        </w:tc>
        <w:tc>
          <w:tcPr>
            <w:tcW w:w="506" w:type="pct"/>
            <w:shd w:val="clear" w:color="auto" w:fill="FFFFFF"/>
            <w:noWrap w:val="0"/>
            <w:vAlign w:val="center"/>
          </w:tcPr>
          <w:p w14:paraId="3A184019">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1.056</w:t>
            </w:r>
          </w:p>
        </w:tc>
        <w:tc>
          <w:tcPr>
            <w:tcW w:w="443" w:type="pct"/>
            <w:shd w:val="clear" w:color="auto" w:fill="FFFFFF"/>
            <w:noWrap w:val="0"/>
            <w:vAlign w:val="center"/>
          </w:tcPr>
          <w:p w14:paraId="79A50544">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5</w:t>
            </w:r>
            <w:r>
              <w:rPr>
                <w:rFonts w:hint="default" w:ascii="Times New Roman" w:hAnsi="Times New Roman" w:cs="Times New Roman"/>
                <w:kern w:val="0"/>
                <w:sz w:val="24"/>
                <w:szCs w:val="24"/>
                <w:lang w:val="en-US" w:eastAsia="zh-CN"/>
              </w:rPr>
              <w:t>.</w:t>
            </w:r>
            <w:r>
              <w:rPr>
                <w:rFonts w:hint="default" w:ascii="Times New Roman" w:hAnsi="Times New Roman" w:cs="Times New Roman"/>
                <w:kern w:val="0"/>
                <w:sz w:val="24"/>
                <w:szCs w:val="24"/>
              </w:rPr>
              <w:t>2965</w:t>
            </w:r>
          </w:p>
        </w:tc>
        <w:tc>
          <w:tcPr>
            <w:tcW w:w="459" w:type="pct"/>
            <w:shd w:val="clear" w:color="auto" w:fill="FFFFFF"/>
            <w:noWrap w:val="0"/>
            <w:vAlign w:val="center"/>
          </w:tcPr>
          <w:p w14:paraId="3F2E007A">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cs="Times New Roman"/>
                <w:kern w:val="0"/>
                <w:sz w:val="24"/>
                <w:szCs w:val="24"/>
              </w:rPr>
            </w:pPr>
          </w:p>
        </w:tc>
        <w:tc>
          <w:tcPr>
            <w:tcW w:w="588" w:type="pct"/>
            <w:shd w:val="clear" w:color="auto" w:fill="FFFFFF"/>
            <w:noWrap w:val="0"/>
            <w:vAlign w:val="center"/>
          </w:tcPr>
          <w:p w14:paraId="12F6DA75">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cs="Times New Roman"/>
                <w:kern w:val="0"/>
                <w:sz w:val="24"/>
                <w:szCs w:val="24"/>
              </w:rPr>
            </w:pPr>
          </w:p>
        </w:tc>
        <w:tc>
          <w:tcPr>
            <w:tcW w:w="399" w:type="pct"/>
            <w:shd w:val="clear" w:color="auto" w:fill="FFFFFF"/>
            <w:noWrap w:val="0"/>
            <w:vAlign w:val="center"/>
          </w:tcPr>
          <w:p w14:paraId="72094896">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8</w:t>
            </w:r>
          </w:p>
        </w:tc>
        <w:tc>
          <w:tcPr>
            <w:tcW w:w="528" w:type="pct"/>
            <w:shd w:val="clear" w:color="auto" w:fill="FFFFFF"/>
            <w:noWrap w:val="0"/>
            <w:vAlign w:val="center"/>
          </w:tcPr>
          <w:p w14:paraId="5215CCC4">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12.96</w:t>
            </w:r>
          </w:p>
        </w:tc>
      </w:tr>
      <w:tr w14:paraId="64D6C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77" w:type="pct"/>
            <w:vMerge w:val="continue"/>
            <w:shd w:val="clear" w:color="auto" w:fill="FFFFFF"/>
            <w:noWrap w:val="0"/>
            <w:vAlign w:val="center"/>
          </w:tcPr>
          <w:p w14:paraId="1624FC92">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eastAsia" w:ascii="仿宋_GB2312" w:hAnsi="仿宋_GB2312" w:cs="仿宋_GB2312"/>
                <w:kern w:val="0"/>
                <w:sz w:val="28"/>
                <w:szCs w:val="28"/>
              </w:rPr>
            </w:pPr>
          </w:p>
        </w:tc>
        <w:tc>
          <w:tcPr>
            <w:tcW w:w="1330" w:type="pct"/>
            <w:shd w:val="clear" w:color="auto" w:fill="FFFFFF"/>
            <w:noWrap w:val="0"/>
            <w:vAlign w:val="center"/>
          </w:tcPr>
          <w:p w14:paraId="1805CD3F">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eastAsia" w:ascii="仿宋_GB2312" w:hAnsi="仿宋_GB2312" w:cs="仿宋_GB2312"/>
                <w:kern w:val="0"/>
                <w:sz w:val="28"/>
                <w:szCs w:val="28"/>
              </w:rPr>
            </w:pPr>
            <w:r>
              <w:rPr>
                <w:rFonts w:hint="eastAsia" w:ascii="仿宋_GB2312" w:hAnsi="仿宋_GB2312" w:cs="仿宋_GB2312"/>
                <w:kern w:val="0"/>
                <w:sz w:val="28"/>
                <w:szCs w:val="28"/>
              </w:rPr>
              <w:t>东边经济联合社</w:t>
            </w:r>
          </w:p>
        </w:tc>
        <w:tc>
          <w:tcPr>
            <w:tcW w:w="466" w:type="pct"/>
            <w:shd w:val="clear" w:color="auto" w:fill="FFFFFF"/>
            <w:noWrap w:val="0"/>
            <w:vAlign w:val="center"/>
          </w:tcPr>
          <w:p w14:paraId="6A29F340">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2.</w:t>
            </w:r>
            <w:r>
              <w:rPr>
                <w:rFonts w:hint="eastAsia" w:cs="Times New Roman"/>
                <w:kern w:val="0"/>
                <w:sz w:val="24"/>
                <w:szCs w:val="24"/>
                <w:lang w:val="en-US" w:eastAsia="zh-CN"/>
              </w:rPr>
              <w:t>106</w:t>
            </w:r>
            <w:r>
              <w:rPr>
                <w:rFonts w:hint="default" w:ascii="Times New Roman" w:hAnsi="Times New Roman" w:cs="Times New Roman"/>
                <w:kern w:val="0"/>
                <w:sz w:val="24"/>
                <w:szCs w:val="24"/>
                <w:lang w:val="en-US" w:eastAsia="zh-CN"/>
              </w:rPr>
              <w:t>0</w:t>
            </w:r>
          </w:p>
        </w:tc>
        <w:tc>
          <w:tcPr>
            <w:tcW w:w="506" w:type="pct"/>
            <w:shd w:val="clear" w:color="auto" w:fill="FFFFFF"/>
            <w:noWrap w:val="0"/>
            <w:vAlign w:val="center"/>
          </w:tcPr>
          <w:p w14:paraId="018F1C91">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0.</w:t>
            </w:r>
            <w:r>
              <w:rPr>
                <w:rFonts w:hint="eastAsia" w:cs="Times New Roman"/>
                <w:kern w:val="0"/>
                <w:sz w:val="24"/>
                <w:szCs w:val="24"/>
                <w:lang w:val="en-US" w:eastAsia="zh-CN"/>
              </w:rPr>
              <w:t>591</w:t>
            </w:r>
          </w:p>
        </w:tc>
        <w:tc>
          <w:tcPr>
            <w:tcW w:w="443" w:type="pct"/>
            <w:shd w:val="clear" w:color="auto" w:fill="FFFFFF"/>
            <w:noWrap w:val="0"/>
            <w:vAlign w:val="center"/>
          </w:tcPr>
          <w:p w14:paraId="07552CC7">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1.515</w:t>
            </w:r>
          </w:p>
        </w:tc>
        <w:tc>
          <w:tcPr>
            <w:tcW w:w="459" w:type="pct"/>
            <w:shd w:val="clear" w:color="auto" w:fill="FFFFFF"/>
            <w:noWrap w:val="0"/>
            <w:vAlign w:val="center"/>
          </w:tcPr>
          <w:p w14:paraId="79B6C799">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cs="Times New Roman"/>
                <w:kern w:val="0"/>
                <w:sz w:val="24"/>
                <w:szCs w:val="24"/>
              </w:rPr>
            </w:pPr>
          </w:p>
        </w:tc>
        <w:tc>
          <w:tcPr>
            <w:tcW w:w="588" w:type="pct"/>
            <w:shd w:val="clear" w:color="auto" w:fill="FFFFFF"/>
            <w:noWrap w:val="0"/>
            <w:vAlign w:val="center"/>
          </w:tcPr>
          <w:p w14:paraId="2D287417">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cs="Times New Roman"/>
                <w:kern w:val="0"/>
                <w:sz w:val="24"/>
                <w:szCs w:val="24"/>
              </w:rPr>
            </w:pPr>
          </w:p>
        </w:tc>
        <w:tc>
          <w:tcPr>
            <w:tcW w:w="399" w:type="pct"/>
            <w:shd w:val="clear" w:color="auto" w:fill="FFFFFF"/>
            <w:noWrap w:val="0"/>
            <w:vAlign w:val="center"/>
          </w:tcPr>
          <w:p w14:paraId="7B238422">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3</w:t>
            </w:r>
          </w:p>
        </w:tc>
        <w:tc>
          <w:tcPr>
            <w:tcW w:w="528" w:type="pct"/>
            <w:shd w:val="clear" w:color="auto" w:fill="FFFFFF"/>
            <w:noWrap w:val="0"/>
            <w:vAlign w:val="center"/>
          </w:tcPr>
          <w:p w14:paraId="3B6B35C4">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4.86</w:t>
            </w:r>
          </w:p>
        </w:tc>
      </w:tr>
      <w:tr w14:paraId="6EB71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4" w:hRule="atLeast"/>
          <w:jc w:val="center"/>
        </w:trPr>
        <w:tc>
          <w:tcPr>
            <w:tcW w:w="277" w:type="pct"/>
            <w:vMerge w:val="continue"/>
            <w:shd w:val="clear" w:color="auto" w:fill="FFFFFF"/>
            <w:noWrap w:val="0"/>
            <w:vAlign w:val="center"/>
          </w:tcPr>
          <w:p w14:paraId="27D7A192">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eastAsia" w:ascii="仿宋_GB2312" w:hAnsi="仿宋_GB2312" w:cs="仿宋_GB2312"/>
                <w:kern w:val="0"/>
                <w:sz w:val="28"/>
                <w:szCs w:val="28"/>
              </w:rPr>
            </w:pPr>
          </w:p>
        </w:tc>
        <w:tc>
          <w:tcPr>
            <w:tcW w:w="1330" w:type="pct"/>
            <w:shd w:val="clear" w:color="auto" w:fill="FFFFFF"/>
            <w:noWrap w:val="0"/>
            <w:vAlign w:val="center"/>
          </w:tcPr>
          <w:p w14:paraId="187E6F10">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eastAsia" w:ascii="仿宋_GB2312" w:hAnsi="仿宋_GB2312" w:eastAsia="仿宋_GB2312" w:cs="仿宋_GB2312"/>
                <w:kern w:val="0"/>
                <w:sz w:val="28"/>
                <w:szCs w:val="28"/>
                <w:lang w:eastAsia="zh-CN"/>
              </w:rPr>
            </w:pPr>
            <w:r>
              <w:rPr>
                <w:rFonts w:hint="eastAsia" w:ascii="仿宋_GB2312" w:hAnsi="仿宋_GB2312" w:cs="仿宋_GB2312"/>
                <w:kern w:val="0"/>
                <w:sz w:val="28"/>
                <w:szCs w:val="28"/>
              </w:rPr>
              <w:t>东边上元经济合作社、东边松元经济合作社、东边西成经济合作社、东边南一经济合作社、东边经济联合社、东边昌二经济合作社、东边昌一经济合作社、东边东成经济合作社、东边南二经济合作社、东边溶和经济合作社、东边溶华经济合作社、东边三龙经济合作社（共有</w:t>
            </w:r>
            <w:r>
              <w:rPr>
                <w:rFonts w:hint="eastAsia" w:ascii="仿宋_GB2312" w:hAnsi="仿宋_GB2312" w:cs="仿宋_GB2312"/>
                <w:kern w:val="0"/>
                <w:sz w:val="28"/>
                <w:szCs w:val="28"/>
                <w:lang w:eastAsia="zh-CN"/>
              </w:rPr>
              <w:t>）</w:t>
            </w:r>
          </w:p>
        </w:tc>
        <w:tc>
          <w:tcPr>
            <w:tcW w:w="466" w:type="pct"/>
            <w:shd w:val="clear" w:color="auto" w:fill="FFFFFF"/>
            <w:noWrap w:val="0"/>
            <w:vAlign w:val="center"/>
          </w:tcPr>
          <w:p w14:paraId="7AAF54F8">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10.2615</w:t>
            </w:r>
          </w:p>
        </w:tc>
        <w:tc>
          <w:tcPr>
            <w:tcW w:w="506" w:type="pct"/>
            <w:shd w:val="clear" w:color="auto" w:fill="FFFFFF"/>
            <w:noWrap w:val="0"/>
            <w:vAlign w:val="center"/>
          </w:tcPr>
          <w:p w14:paraId="1C96C371">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1.9155</w:t>
            </w:r>
          </w:p>
        </w:tc>
        <w:tc>
          <w:tcPr>
            <w:tcW w:w="443" w:type="pct"/>
            <w:shd w:val="clear" w:color="auto" w:fill="FFFFFF"/>
            <w:noWrap w:val="0"/>
            <w:vAlign w:val="center"/>
          </w:tcPr>
          <w:p w14:paraId="10F15BA4">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8.346</w:t>
            </w:r>
          </w:p>
        </w:tc>
        <w:tc>
          <w:tcPr>
            <w:tcW w:w="459" w:type="pct"/>
            <w:shd w:val="clear" w:color="auto" w:fill="FFFFFF"/>
            <w:noWrap w:val="0"/>
            <w:vAlign w:val="center"/>
          </w:tcPr>
          <w:p w14:paraId="38CC32E9">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cs="Times New Roman"/>
                <w:kern w:val="0"/>
                <w:sz w:val="24"/>
                <w:szCs w:val="24"/>
              </w:rPr>
            </w:pPr>
          </w:p>
        </w:tc>
        <w:tc>
          <w:tcPr>
            <w:tcW w:w="588" w:type="pct"/>
            <w:shd w:val="clear" w:color="auto" w:fill="FFFFFF"/>
            <w:noWrap w:val="0"/>
            <w:vAlign w:val="center"/>
          </w:tcPr>
          <w:p w14:paraId="5A188435">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cs="Times New Roman"/>
                <w:kern w:val="0"/>
                <w:sz w:val="24"/>
                <w:szCs w:val="24"/>
              </w:rPr>
            </w:pPr>
          </w:p>
        </w:tc>
        <w:tc>
          <w:tcPr>
            <w:tcW w:w="399" w:type="pct"/>
            <w:shd w:val="clear" w:color="auto" w:fill="FFFFFF"/>
            <w:noWrap w:val="0"/>
            <w:vAlign w:val="center"/>
          </w:tcPr>
          <w:p w14:paraId="6994C953">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12</w:t>
            </w:r>
          </w:p>
        </w:tc>
        <w:tc>
          <w:tcPr>
            <w:tcW w:w="528" w:type="pct"/>
            <w:shd w:val="clear" w:color="auto" w:fill="FFFFFF"/>
            <w:noWrap w:val="0"/>
            <w:vAlign w:val="center"/>
          </w:tcPr>
          <w:p w14:paraId="64D33F8D">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19,44</w:t>
            </w:r>
          </w:p>
        </w:tc>
      </w:tr>
      <w:tr w14:paraId="4783C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607" w:type="pct"/>
            <w:gridSpan w:val="2"/>
            <w:shd w:val="clear" w:color="auto" w:fill="FFFFFF"/>
            <w:noWrap w:val="0"/>
            <w:vAlign w:val="center"/>
          </w:tcPr>
          <w:p w14:paraId="7202D0BB">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eastAsia" w:ascii="仿宋_GB2312" w:hAnsi="仿宋_GB2312" w:cs="仿宋_GB2312"/>
                <w:kern w:val="0"/>
                <w:sz w:val="28"/>
                <w:szCs w:val="28"/>
              </w:rPr>
            </w:pPr>
            <w:r>
              <w:rPr>
                <w:rFonts w:hint="eastAsia" w:ascii="仿宋_GB2312" w:hAnsi="仿宋_GB2312" w:cs="仿宋_GB2312"/>
                <w:kern w:val="0"/>
                <w:sz w:val="28"/>
                <w:szCs w:val="28"/>
              </w:rPr>
              <w:t>合    计</w:t>
            </w:r>
          </w:p>
        </w:tc>
        <w:tc>
          <w:tcPr>
            <w:tcW w:w="466" w:type="pct"/>
            <w:shd w:val="clear" w:color="auto" w:fill="FFFFFF"/>
            <w:noWrap w:val="0"/>
            <w:vAlign w:val="center"/>
          </w:tcPr>
          <w:p w14:paraId="0F8B36ED">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50.</w:t>
            </w:r>
            <w:r>
              <w:rPr>
                <w:rFonts w:hint="eastAsia" w:cs="Times New Roman"/>
                <w:kern w:val="0"/>
                <w:sz w:val="24"/>
                <w:szCs w:val="24"/>
                <w:lang w:val="en-US" w:eastAsia="zh-CN"/>
              </w:rPr>
              <w:t>1335</w:t>
            </w:r>
          </w:p>
        </w:tc>
        <w:tc>
          <w:tcPr>
            <w:tcW w:w="506" w:type="pct"/>
            <w:shd w:val="clear" w:color="auto" w:fill="FFFFFF"/>
            <w:noWrap w:val="0"/>
            <w:vAlign w:val="center"/>
          </w:tcPr>
          <w:p w14:paraId="136B083E">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rPr>
              <w:t>4.</w:t>
            </w:r>
            <w:r>
              <w:rPr>
                <w:rFonts w:hint="eastAsia" w:cs="Times New Roman"/>
                <w:kern w:val="0"/>
                <w:sz w:val="24"/>
                <w:szCs w:val="24"/>
                <w:lang w:val="en-US" w:eastAsia="zh-CN"/>
              </w:rPr>
              <w:t>8960</w:t>
            </w:r>
            <w:bookmarkStart w:id="0" w:name="_GoBack"/>
            <w:bookmarkEnd w:id="0"/>
          </w:p>
        </w:tc>
        <w:tc>
          <w:tcPr>
            <w:tcW w:w="443" w:type="pct"/>
            <w:shd w:val="clear" w:color="auto" w:fill="FFFFFF"/>
            <w:noWrap w:val="0"/>
            <w:vAlign w:val="center"/>
          </w:tcPr>
          <w:p w14:paraId="74008F8B">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45.2355</w:t>
            </w:r>
          </w:p>
        </w:tc>
        <w:tc>
          <w:tcPr>
            <w:tcW w:w="459" w:type="pct"/>
            <w:shd w:val="clear" w:color="auto" w:fill="FFFFFF"/>
            <w:noWrap w:val="0"/>
            <w:vAlign w:val="center"/>
          </w:tcPr>
          <w:p w14:paraId="49AA5A6A">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cs="Times New Roman"/>
                <w:kern w:val="0"/>
                <w:sz w:val="24"/>
                <w:szCs w:val="24"/>
              </w:rPr>
            </w:pPr>
          </w:p>
        </w:tc>
        <w:tc>
          <w:tcPr>
            <w:tcW w:w="588" w:type="pct"/>
            <w:shd w:val="clear" w:color="auto" w:fill="FFFFFF"/>
            <w:noWrap w:val="0"/>
            <w:vAlign w:val="center"/>
          </w:tcPr>
          <w:p w14:paraId="4BF9748E">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cs="Times New Roman"/>
                <w:kern w:val="0"/>
                <w:sz w:val="24"/>
                <w:szCs w:val="24"/>
              </w:rPr>
            </w:pPr>
          </w:p>
        </w:tc>
        <w:tc>
          <w:tcPr>
            <w:tcW w:w="399" w:type="pct"/>
            <w:shd w:val="clear" w:color="auto" w:fill="FFFFFF"/>
            <w:noWrap w:val="0"/>
            <w:vAlign w:val="center"/>
          </w:tcPr>
          <w:p w14:paraId="0170B90F">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4"/>
                <w:szCs w:val="24"/>
                <w:lang w:val="en-US" w:eastAsia="zh-CN"/>
              </w:rPr>
            </w:pPr>
            <w:r>
              <w:rPr>
                <w:rFonts w:hint="eastAsia" w:ascii="Times New Roman" w:hAnsi="Times New Roman" w:cs="Times New Roman"/>
                <w:kern w:val="0"/>
                <w:sz w:val="24"/>
                <w:szCs w:val="24"/>
                <w:lang w:val="en-US" w:eastAsia="zh-CN"/>
              </w:rPr>
              <w:t>61</w:t>
            </w:r>
          </w:p>
        </w:tc>
        <w:tc>
          <w:tcPr>
            <w:tcW w:w="528" w:type="pct"/>
            <w:shd w:val="clear" w:color="auto" w:fill="FFFFFF"/>
            <w:noWrap w:val="0"/>
            <w:vAlign w:val="center"/>
          </w:tcPr>
          <w:p w14:paraId="2FAD7EF1">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98</w:t>
            </w:r>
            <w:r>
              <w:rPr>
                <w:rFonts w:hint="eastAsia" w:ascii="Times New Roman" w:hAnsi="Times New Roman" w:cs="Times New Roman"/>
                <w:kern w:val="0"/>
                <w:sz w:val="24"/>
                <w:szCs w:val="24"/>
                <w:lang w:val="en-US" w:eastAsia="zh-CN"/>
              </w:rPr>
              <w:t>.</w:t>
            </w:r>
            <w:r>
              <w:rPr>
                <w:rFonts w:hint="default" w:ascii="Times New Roman" w:hAnsi="Times New Roman" w:cs="Times New Roman"/>
                <w:kern w:val="0"/>
                <w:sz w:val="24"/>
                <w:szCs w:val="24"/>
              </w:rPr>
              <w:t>82</w:t>
            </w:r>
          </w:p>
        </w:tc>
      </w:tr>
    </w:tbl>
    <w:p w14:paraId="38A5F2F0">
      <w:pPr>
        <w:keepNext w:val="0"/>
        <w:keepLines w:val="0"/>
        <w:pageBreakBefore w:val="0"/>
        <w:widowControl w:val="0"/>
        <w:kinsoku/>
        <w:wordWrap/>
        <w:overflowPunct/>
        <w:topLinePunct w:val="0"/>
        <w:autoSpaceDE/>
        <w:autoSpaceDN/>
        <w:bidi w:val="0"/>
        <w:adjustRightInd/>
        <w:snapToGrid/>
        <w:spacing w:line="320" w:lineRule="exact"/>
        <w:ind w:right="0"/>
        <w:jc w:val="left"/>
        <w:textAlignment w:val="auto"/>
        <w:rPr>
          <w:rFonts w:hint="default"/>
          <w:sz w:val="28"/>
          <w:szCs w:val="28"/>
        </w:rPr>
      </w:pPr>
      <w:r>
        <w:rPr>
          <w:rFonts w:hint="eastAsia"/>
          <w:sz w:val="28"/>
          <w:szCs w:val="28"/>
        </w:rPr>
        <w:t>备注：</w:t>
      </w:r>
      <w:r>
        <w:rPr>
          <w:sz w:val="28"/>
          <w:szCs w:val="28"/>
        </w:rPr>
        <w:t>被征收土地属于被征地单位留用地的，按规定不计提征地社保费。</w:t>
      </w:r>
    </w:p>
    <w:sectPr>
      <w:pgSz w:w="11910" w:h="16840"/>
      <w:pgMar w:top="1440" w:right="1440" w:bottom="1440" w:left="1440" w:header="0" w:footer="1587" w:gutter="0"/>
      <w:cols w:space="0" w:num="1"/>
      <w:rtlGutter w:val="0"/>
      <w:docGrid w:type="linesAndChars" w:linePitch="579" w:charSpace="-8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4F6C93-5D76-41E2-9B77-D8280EFD11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5BC68DA-C3FE-4C6F-A0F2-70FAF0B8185F}"/>
  </w:font>
  <w:font w:name="仿宋_GB2312">
    <w:panose1 w:val="02010609030101010101"/>
    <w:charset w:val="86"/>
    <w:family w:val="auto"/>
    <w:pitch w:val="default"/>
    <w:sig w:usb0="00000001" w:usb1="080E0000" w:usb2="00000000" w:usb3="00000000" w:csb0="00040000" w:csb1="00000000"/>
    <w:embedRegular r:id="rId3" w:fontKey="{B8CB41C7-3E43-4F10-90B6-4C8464E58B6C}"/>
  </w:font>
  <w:font w:name="Adobe 黑体 Std R">
    <w:altName w:val="黑体"/>
    <w:panose1 w:val="020B0400000000000000"/>
    <w:charset w:val="80"/>
    <w:family w:val="swiss"/>
    <w:pitch w:val="default"/>
    <w:sig w:usb0="00000000" w:usb1="00000000" w:usb2="00000016" w:usb3="00000000" w:csb0="00060007" w:csb1="00000000"/>
    <w:embedRegular r:id="rId4" w:fontKey="{AD82B6AE-3BD2-4F93-A020-4CD290CF315E}"/>
  </w:font>
  <w:font w:name="方正小标宋_GBK">
    <w:panose1 w:val="03000509000000000000"/>
    <w:charset w:val="86"/>
    <w:family w:val="auto"/>
    <w:pitch w:val="default"/>
    <w:sig w:usb0="00000001" w:usb1="080E0000" w:usb2="00000000" w:usb3="00000000" w:csb0="00040000" w:csb1="00000000"/>
    <w:embedRegular r:id="rId5" w:fontKey="{2AE22ABF-679B-4A0A-9EB8-AB690C389E86}"/>
  </w:font>
  <w:font w:name="仿宋">
    <w:panose1 w:val="02010609060101010101"/>
    <w:charset w:val="86"/>
    <w:family w:val="auto"/>
    <w:pitch w:val="default"/>
    <w:sig w:usb0="800002BF" w:usb1="38CF7CFA" w:usb2="00000016" w:usb3="00000000" w:csb0="00040001" w:csb1="00000000"/>
    <w:embedRegular r:id="rId6" w:fontKey="{0F4F2A02-349B-4F82-B172-9346A8464D83}"/>
  </w:font>
  <w:font w:name="方正小标宋简体">
    <w:panose1 w:val="03000509000000000000"/>
    <w:charset w:val="86"/>
    <w:family w:val="auto"/>
    <w:pitch w:val="default"/>
    <w:sig w:usb0="00000001" w:usb1="080E0000" w:usb2="00000000" w:usb3="00000000" w:csb0="00040000" w:csb1="00000000"/>
    <w:embedRegular r:id="rId7" w:fontKey="{D6A1398C-54DA-457F-AC3E-7CF4A287C2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9B008">
    <w:pPr>
      <w:spacing w:before="0" w:after="0"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3695700</wp:posOffset>
              </wp:positionH>
              <wp:positionV relativeFrom="page">
                <wp:posOffset>9935845</wp:posOffset>
              </wp:positionV>
              <wp:extent cx="167005" cy="1397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24066CB8">
                          <w:pPr>
                            <w:spacing w:before="0" w:line="203" w:lineRule="exact"/>
                            <w:ind w:left="40" w:right="0" w:firstLine="0"/>
                            <w:jc w:val="left"/>
                            <w:rPr>
                              <w:rFonts w:ascii="Calibri" w:hAnsi="Calibri" w:eastAsia="Calibri" w:cs="Calibri"/>
                              <w:sz w:val="18"/>
                              <w:szCs w:val="18"/>
                            </w:rPr>
                          </w:pPr>
                        </w:p>
                      </w:txbxContent>
                    </wps:txbx>
                    <wps:bodyPr lIns="0" tIns="0" rIns="0" bIns="0" upright="1"/>
                  </wps:wsp>
                </a:graphicData>
              </a:graphic>
            </wp:anchor>
          </w:drawing>
        </mc:Choice>
        <mc:Fallback>
          <w:pict>
            <v:shape id="文本框 1025" o:spid="_x0000_s1026" o:spt="202" type="#_x0000_t202" style="position:absolute;left:0pt;margin-left:291pt;margin-top:782.35pt;height:11pt;width:13.15pt;mso-position-horizontal-relative:page;mso-position-vertical-relative:page;z-index:-251657216;mso-width-relative:page;mso-height-relative:page;" filled="f" stroked="f" coordsize="21600,21600" o:gfxdata="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trjVc2wAAAA0BAAAPAAAAAAAAAAEAIAAAACIAAABkcnMvZG93bnJldi54bWxQ&#10;SwECFAAUAAAACACHTuJAJuv/G7sBAAB0AwAADgAAAAAAAAABACAAAAAqAQAAZHJzL2Uyb0RvYy54&#10;bWxQSwUGAAAAAAYABgBZAQAAVwUAAAAA&#10;">
              <v:fill on="f" focussize="0,0"/>
              <v:stroke on="f"/>
              <v:imagedata o:title=""/>
              <o:lock v:ext="edit" aspectratio="f"/>
              <v:textbox inset="0mm,0mm,0mm,0mm">
                <w:txbxContent>
                  <w:p w14:paraId="24066CB8">
                    <w:pPr>
                      <w:spacing w:before="0" w:line="203" w:lineRule="exact"/>
                      <w:ind w:left="40" w:right="0" w:firstLine="0"/>
                      <w:jc w:val="left"/>
                      <w:rPr>
                        <w:rFonts w:ascii="Calibri" w:hAnsi="Calibri" w:eastAsia="Calibri" w:cs="Calibri"/>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720"/>
  <w:drawingGridHorizontalSpacing w:val="158"/>
  <w:drawingGridVerticalSpacing w:val="29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23EB0"/>
    <w:rsid w:val="022A33E1"/>
    <w:rsid w:val="03ED4F45"/>
    <w:rsid w:val="04654DC4"/>
    <w:rsid w:val="066634FE"/>
    <w:rsid w:val="0822151D"/>
    <w:rsid w:val="08682950"/>
    <w:rsid w:val="08D15B8E"/>
    <w:rsid w:val="08D87341"/>
    <w:rsid w:val="0AB01E77"/>
    <w:rsid w:val="0BC12118"/>
    <w:rsid w:val="0C3A618D"/>
    <w:rsid w:val="0C890300"/>
    <w:rsid w:val="0D5A4B28"/>
    <w:rsid w:val="0D630F89"/>
    <w:rsid w:val="110C00AB"/>
    <w:rsid w:val="11CE710E"/>
    <w:rsid w:val="121627E8"/>
    <w:rsid w:val="161B7A15"/>
    <w:rsid w:val="162B00EE"/>
    <w:rsid w:val="16E50DE0"/>
    <w:rsid w:val="17B374D2"/>
    <w:rsid w:val="17CF598E"/>
    <w:rsid w:val="19977D8A"/>
    <w:rsid w:val="1E4B75AE"/>
    <w:rsid w:val="203E1903"/>
    <w:rsid w:val="219E39B8"/>
    <w:rsid w:val="22007F90"/>
    <w:rsid w:val="223540CA"/>
    <w:rsid w:val="228E448C"/>
    <w:rsid w:val="25173237"/>
    <w:rsid w:val="25477C36"/>
    <w:rsid w:val="267F244D"/>
    <w:rsid w:val="295B3526"/>
    <w:rsid w:val="29C73F17"/>
    <w:rsid w:val="2BE439BC"/>
    <w:rsid w:val="2F2F33BB"/>
    <w:rsid w:val="3187156E"/>
    <w:rsid w:val="33085EB0"/>
    <w:rsid w:val="336B3278"/>
    <w:rsid w:val="33946D2B"/>
    <w:rsid w:val="3399180B"/>
    <w:rsid w:val="33E148D6"/>
    <w:rsid w:val="34394804"/>
    <w:rsid w:val="34CC172C"/>
    <w:rsid w:val="38553CF1"/>
    <w:rsid w:val="39A42B0C"/>
    <w:rsid w:val="3A126FE2"/>
    <w:rsid w:val="3B457B92"/>
    <w:rsid w:val="3B7F12F6"/>
    <w:rsid w:val="3B8E0546"/>
    <w:rsid w:val="3BAC2B8E"/>
    <w:rsid w:val="3D4536F5"/>
    <w:rsid w:val="3EEA4CD8"/>
    <w:rsid w:val="3F8571D3"/>
    <w:rsid w:val="40AD4EC0"/>
    <w:rsid w:val="418D46EF"/>
    <w:rsid w:val="451A5BEB"/>
    <w:rsid w:val="46753A21"/>
    <w:rsid w:val="46EF1848"/>
    <w:rsid w:val="47EA5951"/>
    <w:rsid w:val="47ED75E7"/>
    <w:rsid w:val="4B516FDD"/>
    <w:rsid w:val="4B9C7C39"/>
    <w:rsid w:val="4BEA0AB3"/>
    <w:rsid w:val="4D1F0243"/>
    <w:rsid w:val="4D6A3AF7"/>
    <w:rsid w:val="4DDA685F"/>
    <w:rsid w:val="4F7A0475"/>
    <w:rsid w:val="4FDC68BF"/>
    <w:rsid w:val="50186B3E"/>
    <w:rsid w:val="505F6CEB"/>
    <w:rsid w:val="50744D49"/>
    <w:rsid w:val="51545F2B"/>
    <w:rsid w:val="51F31C9E"/>
    <w:rsid w:val="53BA0610"/>
    <w:rsid w:val="54382FF3"/>
    <w:rsid w:val="54E02594"/>
    <w:rsid w:val="55442D10"/>
    <w:rsid w:val="557C303F"/>
    <w:rsid w:val="55E839D7"/>
    <w:rsid w:val="58704ECD"/>
    <w:rsid w:val="5B266C40"/>
    <w:rsid w:val="5CBB785C"/>
    <w:rsid w:val="5D9D4B79"/>
    <w:rsid w:val="5DC143DA"/>
    <w:rsid w:val="5EF369C2"/>
    <w:rsid w:val="5F7D66C9"/>
    <w:rsid w:val="60ED7905"/>
    <w:rsid w:val="62AF1C11"/>
    <w:rsid w:val="62CC4571"/>
    <w:rsid w:val="62CF5E0F"/>
    <w:rsid w:val="63714235"/>
    <w:rsid w:val="63841B73"/>
    <w:rsid w:val="6488303F"/>
    <w:rsid w:val="64ED2421"/>
    <w:rsid w:val="64F34037"/>
    <w:rsid w:val="65AE61B0"/>
    <w:rsid w:val="664B18ED"/>
    <w:rsid w:val="671A7149"/>
    <w:rsid w:val="681C38A5"/>
    <w:rsid w:val="6A0448E5"/>
    <w:rsid w:val="6B74608D"/>
    <w:rsid w:val="6BA46122"/>
    <w:rsid w:val="6C7651BB"/>
    <w:rsid w:val="6CDE55CC"/>
    <w:rsid w:val="6DB30687"/>
    <w:rsid w:val="6E8E7707"/>
    <w:rsid w:val="6F643BB1"/>
    <w:rsid w:val="6F8C3791"/>
    <w:rsid w:val="708E5910"/>
    <w:rsid w:val="73A155A6"/>
    <w:rsid w:val="747B57C1"/>
    <w:rsid w:val="75B44CF4"/>
    <w:rsid w:val="768B3F84"/>
    <w:rsid w:val="76910A96"/>
    <w:rsid w:val="78434E7D"/>
    <w:rsid w:val="785B7D01"/>
    <w:rsid w:val="78EA6370"/>
    <w:rsid w:val="7A001B51"/>
    <w:rsid w:val="7A3370D3"/>
    <w:rsid w:val="7ADD4CE9"/>
    <w:rsid w:val="7B6E6F88"/>
    <w:rsid w:val="7D5135A2"/>
    <w:rsid w:val="7DA97531"/>
    <w:rsid w:val="7E1D286D"/>
    <w:rsid w:val="7F325F7A"/>
    <w:rsid w:val="7F5812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imes New Roman" w:hAnsi="Times New Roman" w:eastAsia="仿宋_GB2312" w:cstheme="minorBidi"/>
      <w:sz w:val="32"/>
      <w:szCs w:val="32"/>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5">
    <w:name w:val="annotation text"/>
    <w:basedOn w:val="1"/>
    <w:qFormat/>
    <w:uiPriority w:val="0"/>
    <w:pPr>
      <w:jc w:val="left"/>
    </w:pPr>
  </w:style>
  <w:style w:type="paragraph" w:styleId="6">
    <w:name w:val="Body Text"/>
    <w:basedOn w:val="1"/>
    <w:qFormat/>
    <w:uiPriority w:val="1"/>
    <w:pPr>
      <w:spacing w:before="35"/>
      <w:ind w:left="760"/>
    </w:pPr>
    <w:rPr>
      <w:rFonts w:ascii="Adobe 黑体 Std R" w:hAnsi="Adobe 黑体 Std R" w:eastAsia="Adobe 黑体 Std R"/>
      <w:sz w:val="32"/>
      <w:szCs w:val="3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1541</Words>
  <Characters>1785</Characters>
  <TotalTime>11</TotalTime>
  <ScaleCrop>false</ScaleCrop>
  <LinksUpToDate>false</LinksUpToDate>
  <CharactersWithSpaces>1837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cp:lastModifiedBy>
  <cp:lastPrinted>2024-12-02T08:00:00Z</cp:lastPrinted>
  <dcterms:modified xsi:type="dcterms:W3CDTF">2026-07-07T04:25:05Z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2052-12.1.0.20784</vt:lpwstr>
  </property>
  <property fmtid="{D5CDD505-2E9C-101B-9397-08002B2CF9AE}" pid="6" name="ICV">
    <vt:lpwstr>04C8A8437FEE4C5E90101BFE1D598DAA_13</vt:lpwstr>
  </property>
  <property fmtid="{D5CDD505-2E9C-101B-9397-08002B2CF9AE}" pid="7" name="KSOTemplateDocerSaveRecord">
    <vt:lpwstr>eyJoZGlkIjoiMzEwNTM5NzYwMDRjMzkwZTVkZjY2ODkwMGIxNGU0OTUiLCJ1c2VySWQiOiIzODc5ODc4ODEifQ==</vt:lpwstr>
  </property>
</Properties>
</file>