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粤府土审（02）〔20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149</w:t>
      </w:r>
      <w:r>
        <w:rPr>
          <w:rFonts w:hint="eastAsia" w:ascii="Times New Roman" w:hAnsi="Times New Roman" w:eastAsia="仿宋_GB2312" w:cs="Times New Roman"/>
          <w:color w:val="auto"/>
          <w:sz w:val="32"/>
          <w:szCs w:val="32"/>
          <w:highlight w:val="none"/>
        </w:rPr>
        <w:t>号</w:t>
      </w:r>
    </w:p>
    <w:p>
      <w:pPr>
        <w:spacing w:line="600" w:lineRule="exact"/>
        <w:jc w:val="center"/>
        <w:rPr>
          <w:rFonts w:hint="eastAsia" w:ascii="Times New Roman" w:hAnsi="Times New Roman" w:eastAsia="方正小标宋简体" w:cs="方正小标宋简体"/>
          <w:bCs/>
          <w:color w:val="auto"/>
          <w:sz w:val="44"/>
          <w:szCs w:val="44"/>
          <w:highlight w:val="none"/>
        </w:rPr>
      </w:pPr>
    </w:p>
    <w:p>
      <w:pPr>
        <w:keepNext w:val="0"/>
        <w:keepLines w:val="0"/>
        <w:pageBreakBefore w:val="0"/>
        <w:kinsoku/>
        <w:wordWrap/>
        <w:overflowPunct/>
        <w:topLinePunct w:val="0"/>
        <w:bidi w:val="0"/>
        <w:adjustRightInd/>
        <w:snapToGrid/>
        <w:spacing w:line="600" w:lineRule="exact"/>
        <w:jc w:val="center"/>
        <w:rPr>
          <w:rFonts w:hint="eastAsia" w:ascii="Times New Roman" w:hAnsi="Times New Roman" w:eastAsia="方正小标宋_GBK" w:cs="方正小标宋_GBK"/>
          <w:bCs/>
          <w:color w:val="auto"/>
          <w:sz w:val="44"/>
          <w:szCs w:val="44"/>
          <w:highlight w:val="none"/>
          <w:u w:val="none"/>
        </w:rPr>
      </w:pPr>
      <w:r>
        <w:rPr>
          <w:rFonts w:hint="eastAsia" w:ascii="Times New Roman" w:hAnsi="Times New Roman" w:eastAsia="方正小标宋_GBK" w:cs="方正小标宋_GBK"/>
          <w:bCs/>
          <w:color w:val="auto"/>
          <w:sz w:val="44"/>
          <w:szCs w:val="44"/>
          <w:highlight w:val="none"/>
        </w:rPr>
        <w:t>广东省</w:t>
      </w:r>
      <w:r>
        <w:rPr>
          <w:rFonts w:hint="eastAsia" w:ascii="方正小标宋_GBK" w:hAnsi="方正小标宋_GBK" w:eastAsia="方正小标宋_GBK" w:cs="方正小标宋_GBK"/>
          <w:bCs/>
          <w:sz w:val="44"/>
          <w:szCs w:val="44"/>
        </w:rPr>
        <w:t>人民政府关于广州市</w:t>
      </w:r>
      <w:r>
        <w:rPr>
          <w:rFonts w:hint="eastAsia" w:ascii="方正小标宋_GBK" w:hAnsi="方正小标宋_GBK" w:eastAsia="方正小标宋_GBK" w:cs="方正小标宋_GBK"/>
          <w:bCs/>
          <w:sz w:val="44"/>
          <w:szCs w:val="44"/>
          <w:lang w:eastAsia="zh-CN"/>
        </w:rPr>
        <w:t>增城</w:t>
      </w:r>
      <w:r>
        <w:rPr>
          <w:rFonts w:hint="eastAsia" w:ascii="方正小标宋_GBK" w:hAnsi="方正小标宋_GBK" w:eastAsia="方正小标宋_GBK" w:cs="方正小标宋_GBK"/>
          <w:bCs/>
          <w:sz w:val="44"/>
          <w:szCs w:val="44"/>
        </w:rPr>
        <w:t>区202</w:t>
      </w:r>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二十九</w:t>
      </w:r>
      <w:r>
        <w:rPr>
          <w:rFonts w:hint="eastAsia" w:ascii="方正小标宋_GBK" w:hAnsi="方正小标宋_GBK" w:eastAsia="方正小标宋_GBK" w:cs="方正小标宋_GBK"/>
          <w:bCs/>
          <w:sz w:val="44"/>
          <w:szCs w:val="44"/>
        </w:rPr>
        <w:t>批次城镇建设用地的批</w:t>
      </w:r>
      <w:r>
        <w:rPr>
          <w:rFonts w:hint="eastAsia" w:ascii="Times New Roman" w:hAnsi="Times New Roman" w:eastAsia="方正小标宋_GBK" w:cs="方正小标宋_GBK"/>
          <w:bCs/>
          <w:color w:val="auto"/>
          <w:sz w:val="44"/>
          <w:szCs w:val="44"/>
          <w:highlight w:val="none"/>
          <w:u w:val="none"/>
        </w:rPr>
        <w:t>复</w:t>
      </w:r>
    </w:p>
    <w:p>
      <w:pPr>
        <w:keepNext w:val="0"/>
        <w:keepLines w:val="0"/>
        <w:pageBreakBefore w:val="0"/>
        <w:widowControl/>
        <w:kinsoku/>
        <w:wordWrap/>
        <w:overflowPunct/>
        <w:topLinePunct w:val="0"/>
        <w:bidi w:val="0"/>
        <w:adjustRightInd/>
        <w:snapToGrid/>
        <w:spacing w:line="600" w:lineRule="exact"/>
        <w:jc w:val="center"/>
        <w:textAlignment w:val="baseline"/>
        <w:rPr>
          <w:rFonts w:hint="eastAsia" w:ascii="Times New Roman" w:hAnsi="Times New Roman" w:eastAsia="宋体" w:cs="Times New Roman"/>
          <w:b/>
          <w:color w:val="auto"/>
          <w:sz w:val="32"/>
          <w:szCs w:val="32"/>
          <w:highlight w:val="none"/>
          <w:u w:val="none"/>
        </w:rPr>
      </w:pPr>
    </w:p>
    <w:p>
      <w:pPr>
        <w:keepNext w:val="0"/>
        <w:keepLines w:val="0"/>
        <w:pageBreakBefore w:val="0"/>
        <w:widowControl/>
        <w:kinsoku/>
        <w:wordWrap/>
        <w:overflowPunct/>
        <w:topLinePunct w:val="0"/>
        <w:bidi w:val="0"/>
        <w:adjustRightInd/>
        <w:snapToGrid/>
        <w:spacing w:line="600" w:lineRule="exact"/>
        <w:jc w:val="left"/>
        <w:textAlignment w:val="baseline"/>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广州市人民政府：</w:t>
      </w: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你市关于申请广州市增城区202</w:t>
      </w:r>
      <w:r>
        <w:rPr>
          <w:rFonts w:hint="eastAsia"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lang w:eastAsia="zh-CN"/>
        </w:rPr>
        <w:t>年度第二十九批次城镇建设用地</w:t>
      </w:r>
      <w:r>
        <w:rPr>
          <w:rFonts w:hint="eastAsia" w:ascii="Times New Roman" w:hAnsi="Times New Roman" w:eastAsia="仿宋_GB2312" w:cs="Times New Roman"/>
          <w:color w:val="auto"/>
          <w:sz w:val="32"/>
          <w:szCs w:val="32"/>
          <w:highlight w:val="none"/>
          <w:u w:val="none"/>
          <w:lang w:val="en-US" w:eastAsia="zh-CN"/>
        </w:rPr>
        <w:t>土地征收的请示收悉</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现</w:t>
      </w:r>
      <w:r>
        <w:rPr>
          <w:rFonts w:ascii="Times New Roman" w:hAnsi="Times New Roman" w:eastAsia="仿宋_GB2312" w:cs="Times New Roman"/>
          <w:color w:val="auto"/>
          <w:sz w:val="32"/>
          <w:szCs w:val="32"/>
          <w:highlight w:val="none"/>
          <w:u w:val="none"/>
        </w:rPr>
        <w:t>批复如下：</w:t>
      </w:r>
    </w:p>
    <w:p>
      <w:pPr>
        <w:pStyle w:val="5"/>
        <w:widowControl w:val="0"/>
        <w:autoSpaceDE w:val="0"/>
        <w:autoSpaceDN w:val="0"/>
        <w:spacing w:line="580" w:lineRule="exact"/>
        <w:ind w:firstLine="640" w:firstLineChars="200"/>
        <w:textAlignment w:val="auto"/>
        <w:rPr>
          <w:rFonts w:hint="default"/>
          <w:lang w:val="en-US" w:eastAsia="zh-CN"/>
        </w:rPr>
      </w:pPr>
      <w:r>
        <w:rPr>
          <w:rFonts w:hint="eastAsia" w:eastAsia="仿宋_GB2312"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同意使用</w:t>
      </w:r>
      <w:r>
        <w:rPr>
          <w:rFonts w:hint="eastAsia" w:ascii="Times New Roman" w:hAnsi="Times New Roman" w:eastAsia="仿宋_GB2312" w:cs="Times New Roman"/>
          <w:color w:val="auto"/>
          <w:kern w:val="0"/>
          <w:sz w:val="32"/>
          <w:szCs w:val="32"/>
          <w:highlight w:val="none"/>
          <w:lang w:val="en-US" w:eastAsia="zh-CN" w:bidi="ar"/>
        </w:rPr>
        <w:t>5.3062</w:t>
      </w:r>
      <w:r>
        <w:rPr>
          <w:rFonts w:hint="default" w:ascii="Times New Roman" w:hAnsi="Times New Roman" w:eastAsia="仿宋_GB2312" w:cs="Times New Roman"/>
          <w:color w:val="auto"/>
          <w:kern w:val="0"/>
          <w:sz w:val="32"/>
          <w:szCs w:val="32"/>
          <w:highlight w:val="none"/>
          <w:lang w:val="en-US" w:eastAsia="zh-CN" w:bidi="ar"/>
        </w:rPr>
        <w:t>公顷城镇建设用地，即同意你市将</w:t>
      </w:r>
      <w:r>
        <w:rPr>
          <w:rFonts w:hint="eastAsia" w:ascii="Times New Roman" w:hAnsi="Times New Roman" w:eastAsia="仿宋_GB2312" w:cs="Times New Roman"/>
          <w:color w:val="auto"/>
          <w:kern w:val="0"/>
          <w:sz w:val="32"/>
          <w:szCs w:val="32"/>
          <w:highlight w:val="none"/>
          <w:lang w:val="en-US" w:eastAsia="zh-CN" w:bidi="ar"/>
        </w:rPr>
        <w:t>增城</w:t>
      </w:r>
      <w:r>
        <w:rPr>
          <w:rFonts w:hint="default" w:ascii="Times New Roman" w:hAnsi="Times New Roman" w:eastAsia="仿宋_GB2312" w:cs="Times New Roman"/>
          <w:color w:val="auto"/>
          <w:kern w:val="0"/>
          <w:sz w:val="32"/>
          <w:szCs w:val="32"/>
          <w:highlight w:val="none"/>
          <w:lang w:val="en-US" w:eastAsia="zh-CN" w:bidi="ar"/>
        </w:rPr>
        <w:t>区</w:t>
      </w:r>
      <w:r>
        <w:rPr>
          <w:rFonts w:hint="eastAsia" w:ascii="仿宋_GB2312" w:hAnsi="Times New Roman" w:eastAsia="仿宋_GB2312" w:cs="Times New Roman"/>
          <w:spacing w:val="0"/>
          <w:kern w:val="2"/>
          <w:sz w:val="32"/>
          <w:szCs w:val="32"/>
          <w:highlight w:val="none"/>
          <w:lang w:val="en-US" w:eastAsia="zh-CN"/>
        </w:rPr>
        <w:t>仙村镇碧潭村股份经济联合社</w:t>
      </w:r>
      <w:r>
        <w:rPr>
          <w:rFonts w:hint="eastAsia" w:ascii="仿宋_GB2312" w:eastAsia="仿宋_GB2312" w:cs="Times New Roman"/>
          <w:spacing w:val="0"/>
          <w:kern w:val="2"/>
          <w:sz w:val="32"/>
          <w:szCs w:val="32"/>
          <w:highlight w:val="none"/>
          <w:lang w:val="en-US" w:eastAsia="zh-CN"/>
        </w:rPr>
        <w:t>和</w:t>
      </w:r>
      <w:r>
        <w:rPr>
          <w:rFonts w:hint="eastAsia" w:ascii="仿宋_GB2312" w:hAnsi="Times New Roman" w:eastAsia="仿宋_GB2312" w:cs="Times New Roman"/>
          <w:spacing w:val="0"/>
          <w:kern w:val="2"/>
          <w:sz w:val="32"/>
          <w:szCs w:val="32"/>
          <w:highlight w:val="none"/>
          <w:lang w:val="en-US" w:eastAsia="zh-CN"/>
        </w:rPr>
        <w:t>碧潭村第一、第二、第三股份经济合作社</w:t>
      </w:r>
      <w:r>
        <w:rPr>
          <w:rFonts w:hint="eastAsia" w:ascii="仿宋_GB2312" w:hAnsi="Times New Roman" w:eastAsia="仿宋_GB2312" w:cs="Times New Roman"/>
          <w:spacing w:val="0"/>
          <w:kern w:val="2"/>
          <w:sz w:val="32"/>
          <w:szCs w:val="32"/>
          <w:highlight w:val="none"/>
        </w:rPr>
        <w:t>属下</w:t>
      </w:r>
      <w:r>
        <w:rPr>
          <w:rFonts w:hint="default" w:ascii="Times New Roman" w:hAnsi="Times New Roman" w:eastAsia="仿宋_GB2312" w:cs="Times New Roman"/>
          <w:color w:val="auto"/>
          <w:kern w:val="0"/>
          <w:sz w:val="32"/>
          <w:szCs w:val="32"/>
          <w:highlight w:val="none"/>
          <w:lang w:val="en-US" w:eastAsia="zh-CN" w:bidi="ar"/>
        </w:rPr>
        <w:t>的</w:t>
      </w:r>
      <w:r>
        <w:rPr>
          <w:rFonts w:ascii="Times New Roman" w:hAnsi="Times New Roman" w:eastAsia="仿宋_GB2312" w:cs="Times New Roman"/>
          <w:color w:val="auto"/>
          <w:sz w:val="32"/>
          <w:szCs w:val="32"/>
          <w:highlight w:val="none"/>
          <w:u w:val="none"/>
        </w:rPr>
        <w:t>集体农用地</w:t>
      </w:r>
      <w:r>
        <w:rPr>
          <w:rFonts w:hint="eastAsia" w:ascii="Times New Roman" w:hAnsi="Times New Roman" w:eastAsia="仿宋_GB2312" w:cs="Times New Roman"/>
          <w:color w:val="auto"/>
          <w:sz w:val="32"/>
          <w:szCs w:val="32"/>
          <w:highlight w:val="none"/>
          <w:u w:val="none"/>
          <w:lang w:val="en-US" w:eastAsia="zh-CN"/>
        </w:rPr>
        <w:t>4.9632</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ascii="Times New Roman" w:hAnsi="Times New Roman" w:eastAsia="仿宋_GB2312" w:cs="Times New Roman"/>
          <w:color w:val="auto"/>
          <w:sz w:val="32"/>
          <w:szCs w:val="32"/>
          <w:highlight w:val="none"/>
          <w:u w:val="none"/>
          <w:lang w:val="en-US" w:eastAsia="zh-CN"/>
        </w:rPr>
        <w:t>0.4361</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highlight w:val="none"/>
          <w:u w:val="none"/>
        </w:rPr>
        <w:t>，</w:t>
      </w:r>
      <w:r>
        <w:rPr>
          <w:rFonts w:ascii="Times New Roman" w:hAnsi="Times New Roman" w:eastAsia="仿宋_GB2312"/>
          <w:color w:val="auto"/>
          <w:sz w:val="32"/>
          <w:szCs w:val="32"/>
          <w:highlight w:val="none"/>
          <w:u w:val="none"/>
        </w:rPr>
        <w:t>同时使</w:t>
      </w:r>
      <w:r>
        <w:rPr>
          <w:rFonts w:ascii="Times New Roman" w:hAnsi="Times New Roman" w:eastAsia="仿宋_GB2312" w:cs="Times New Roman"/>
          <w:color w:val="auto"/>
          <w:sz w:val="32"/>
          <w:szCs w:val="32"/>
          <w:highlight w:val="none"/>
          <w:u w:val="none"/>
        </w:rPr>
        <w:t>用上述有关村集体建设用地</w:t>
      </w:r>
      <w:r>
        <w:rPr>
          <w:rFonts w:hint="eastAsia" w:ascii="Times New Roman" w:hAnsi="Times New Roman" w:eastAsia="仿宋_GB2312" w:cs="Times New Roman"/>
          <w:color w:val="auto"/>
          <w:sz w:val="32"/>
          <w:szCs w:val="32"/>
          <w:highlight w:val="none"/>
          <w:u w:val="none"/>
          <w:lang w:val="en-US" w:eastAsia="zh-CN"/>
        </w:rPr>
        <w:t>0.3430</w:t>
      </w:r>
      <w:r>
        <w:rPr>
          <w:rFonts w:ascii="Times New Roman" w:hAnsi="Times New Roman" w:eastAsia="仿宋_GB2312" w:cs="Times New Roman"/>
          <w:color w:val="auto"/>
          <w:sz w:val="32"/>
          <w:szCs w:val="32"/>
          <w:highlight w:val="none"/>
          <w:u w:val="none"/>
        </w:rPr>
        <w:t>公顷，以上合计</w:t>
      </w:r>
      <w:r>
        <w:rPr>
          <w:rFonts w:hint="eastAsia" w:ascii="Times New Roman" w:hAnsi="Times New Roman" w:eastAsia="仿宋_GB2312" w:cs="Times New Roman"/>
          <w:color w:val="auto"/>
          <w:sz w:val="32"/>
          <w:szCs w:val="32"/>
          <w:highlight w:val="none"/>
          <w:u w:val="none"/>
          <w:lang w:val="en-US" w:eastAsia="zh-CN"/>
        </w:rPr>
        <w:t>5.3062</w:t>
      </w:r>
      <w:r>
        <w:rPr>
          <w:rFonts w:ascii="Times New Roman" w:hAnsi="Times New Roman" w:eastAsia="仿宋_GB2312" w:cs="Times New Roman"/>
          <w:color w:val="auto"/>
          <w:sz w:val="32"/>
          <w:szCs w:val="32"/>
          <w:highlight w:val="none"/>
          <w:u w:val="none"/>
        </w:rPr>
        <w:t>公顷集体土地一并办理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default" w:ascii="Times New Roman" w:hAnsi="Times New Roman" w:eastAsia="仿宋_GB2312" w:cs="Times New Roman"/>
          <w:color w:val="auto"/>
          <w:kern w:val="0"/>
          <w:sz w:val="32"/>
          <w:szCs w:val="32"/>
          <w:highlight w:val="none"/>
          <w:lang w:val="en-US" w:eastAsia="zh-CN" w:bidi="ar"/>
        </w:rPr>
        <w:t>。</w:t>
      </w:r>
      <w:r>
        <w:rPr>
          <w:rFonts w:ascii="Times New Roman" w:hAnsi="Times New Roman" w:eastAsia="仿宋_GB2312"/>
          <w:color w:val="auto"/>
          <w:sz w:val="32"/>
          <w:szCs w:val="32"/>
          <w:highlight w:val="none"/>
          <w:u w:val="none"/>
        </w:rPr>
        <w:t>上述</w:t>
      </w:r>
      <w:r>
        <w:rPr>
          <w:rFonts w:hint="eastAsia" w:ascii="Times New Roman" w:hAnsi="Times New Roman" w:eastAsia="仿宋_GB2312"/>
          <w:color w:val="auto"/>
          <w:sz w:val="32"/>
          <w:szCs w:val="32"/>
          <w:highlight w:val="none"/>
          <w:u w:val="none"/>
          <w:lang w:eastAsia="zh-CN"/>
        </w:rPr>
        <w:t>批准建设用地</w:t>
      </w:r>
      <w:r>
        <w:rPr>
          <w:rFonts w:hint="eastAsia" w:eastAsia="仿宋_GB2312"/>
          <w:color w:val="auto"/>
          <w:sz w:val="32"/>
          <w:szCs w:val="32"/>
          <w:highlight w:val="none"/>
          <w:u w:val="none"/>
          <w:lang w:val="en-US" w:eastAsia="zh-CN"/>
        </w:rPr>
        <w:t>5.3062</w:t>
      </w:r>
      <w:r>
        <w:rPr>
          <w:rFonts w:ascii="Times New Roman" w:hAnsi="Times New Roman" w:eastAsia="仿宋_GB2312"/>
          <w:color w:val="auto"/>
          <w:sz w:val="32"/>
          <w:szCs w:val="32"/>
          <w:highlight w:val="none"/>
          <w:u w:val="none"/>
        </w:rPr>
        <w:t>公顷</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w:t>
      </w:r>
      <w:r>
        <w:rPr>
          <w:rFonts w:hint="eastAsia" w:ascii="Times New Roman" w:hAnsi="Times New Roman" w:eastAsia="仿宋_GB2312" w:cs="Times New Roman"/>
          <w:color w:val="auto"/>
          <w:kern w:val="0"/>
          <w:sz w:val="32"/>
          <w:szCs w:val="32"/>
          <w:highlight w:val="none"/>
          <w:u w:val="none"/>
          <w:lang w:val="en-US" w:eastAsia="zh-CN" w:bidi="ar"/>
        </w:rPr>
        <w:t>依法依规</w:t>
      </w:r>
      <w:r>
        <w:rPr>
          <w:rFonts w:hint="default" w:ascii="Times New Roman" w:hAnsi="Times New Roman" w:eastAsia="仿宋_GB2312" w:cs="Times New Roman"/>
          <w:color w:val="auto"/>
          <w:kern w:val="0"/>
          <w:sz w:val="32"/>
          <w:szCs w:val="32"/>
          <w:highlight w:val="none"/>
          <w:u w:val="none"/>
          <w:lang w:val="en-US" w:eastAsia="zh-CN" w:bidi="ar"/>
        </w:rPr>
        <w:t>供应</w:t>
      </w:r>
      <w:r>
        <w:rPr>
          <w:rFonts w:ascii="Times New Roman" w:hAnsi="Times New Roman" w:eastAsia="仿宋_GB2312"/>
          <w:color w:val="auto"/>
          <w:sz w:val="32"/>
          <w:szCs w:val="32"/>
          <w:highlight w:val="none"/>
        </w:rPr>
        <w:t>。</w:t>
      </w:r>
    </w:p>
    <w:p>
      <w:pPr>
        <w:keepNext w:val="0"/>
        <w:keepLines w:val="0"/>
        <w:pageBreakBefore w:val="0"/>
        <w:widowControl/>
        <w:numPr>
          <w:ilvl w:val="0"/>
          <w:numId w:val="0"/>
        </w:numPr>
        <w:kinsoku/>
        <w:wordWrap/>
        <w:overflowPunct/>
        <w:topLinePunct w:val="0"/>
        <w:bidi w:val="0"/>
        <w:adjustRightInd/>
        <w:snapToGrid/>
        <w:spacing w:line="600" w:lineRule="exact"/>
        <w:ind w:left="645" w:leftChars="0"/>
        <w:textAlignment w:val="baseline"/>
        <w:rPr>
          <w:rFonts w:hint="eastAsia" w:eastAsia="仿宋_GB2312"/>
          <w:color w:val="auto"/>
          <w:sz w:val="32"/>
          <w:szCs w:val="32"/>
        </w:rPr>
      </w:pPr>
      <w:r>
        <w:rPr>
          <w:rFonts w:hint="eastAsia"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eastAsia="仿宋_GB2312"/>
          <w:color w:val="auto"/>
          <w:sz w:val="32"/>
          <w:szCs w:val="32"/>
        </w:rPr>
        <w:t>。</w:t>
      </w:r>
      <w:r>
        <w:rPr>
          <w:rFonts w:hint="eastAsia" w:eastAsia="仿宋_GB2312"/>
          <w:color w:val="auto"/>
          <w:sz w:val="32"/>
          <w:szCs w:val="32"/>
        </w:rPr>
        <w:t>督促补充耕地责任</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hint="eastAsia" w:eastAsia="仿宋_GB2312"/>
          <w:color w:val="auto"/>
          <w:sz w:val="32"/>
          <w:szCs w:val="32"/>
          <w:lang w:eastAsia="zh-CN"/>
        </w:rPr>
      </w:pPr>
      <w:r>
        <w:rPr>
          <w:rFonts w:hint="eastAsia" w:eastAsia="仿宋_GB2312"/>
          <w:color w:val="auto"/>
          <w:sz w:val="32"/>
          <w:szCs w:val="32"/>
        </w:rPr>
        <w:t>单位认真</w:t>
      </w:r>
      <w:r>
        <w:rPr>
          <w:rFonts w:hint="eastAsia" w:eastAsia="仿宋_GB2312"/>
          <w:color w:val="auto"/>
          <w:sz w:val="32"/>
          <w:szCs w:val="32"/>
          <w:lang w:eastAsia="zh-CN"/>
        </w:rPr>
        <w:t>落实耕地占补平衡</w:t>
      </w:r>
      <w:r>
        <w:rPr>
          <w:rFonts w:hint="eastAsia" w:eastAsia="仿宋_GB2312"/>
          <w:color w:val="auto"/>
          <w:sz w:val="32"/>
          <w:szCs w:val="32"/>
        </w:rPr>
        <w:t>，补充数量相等、质量相当的耕地，</w:t>
      </w:r>
      <w:r>
        <w:rPr>
          <w:rFonts w:eastAsia="仿宋_GB2312"/>
          <w:color w:val="auto"/>
          <w:sz w:val="32"/>
          <w:szCs w:val="32"/>
        </w:rPr>
        <w:t>对应核销耕地数量</w:t>
      </w:r>
      <w:r>
        <w:rPr>
          <w:rFonts w:hint="eastAsia" w:eastAsia="仿宋_GB2312"/>
          <w:color w:val="auto"/>
          <w:sz w:val="32"/>
          <w:szCs w:val="32"/>
          <w:lang w:eastAsia="zh-CN"/>
        </w:rPr>
        <w:t>、</w:t>
      </w:r>
      <w:r>
        <w:rPr>
          <w:rFonts w:ascii="Times New Roman" w:hAnsi="Times New Roman" w:eastAsia="仿宋_GB2312" w:cs="Times New Roman"/>
          <w:color w:val="auto"/>
          <w:sz w:val="32"/>
          <w:szCs w:val="32"/>
          <w:highlight w:val="none"/>
        </w:rPr>
        <w:t>水田规模</w:t>
      </w:r>
      <w:r>
        <w:rPr>
          <w:rFonts w:hint="eastAsia" w:ascii="Times New Roman" w:hAnsi="Times New Roman" w:eastAsia="仿宋_GB2312" w:cs="Times New Roman"/>
          <w:color w:val="auto"/>
          <w:sz w:val="32"/>
          <w:szCs w:val="32"/>
          <w:highlight w:val="none"/>
          <w:lang w:eastAsia="zh-CN"/>
        </w:rPr>
        <w:t>指标</w:t>
      </w:r>
      <w:r>
        <w:rPr>
          <w:rFonts w:eastAsia="仿宋_GB2312"/>
          <w:color w:val="auto"/>
          <w:sz w:val="32"/>
          <w:szCs w:val="32"/>
        </w:rPr>
        <w:t>（确认信息编号：</w:t>
      </w:r>
      <w:r>
        <w:rPr>
          <w:rFonts w:hint="eastAsia" w:ascii="Times New Roman" w:hAnsi="Times New Roman" w:eastAsia="仿宋_GB2312" w:cs="Times New Roman"/>
          <w:color w:val="auto"/>
          <w:kern w:val="2"/>
          <w:sz w:val="32"/>
          <w:szCs w:val="32"/>
          <w:highlight w:val="none"/>
          <w:u w:val="none"/>
          <w:lang w:val="en-US" w:eastAsia="zh-CN" w:bidi="ar-SA"/>
        </w:rPr>
        <w:t>440118202604090019），</w:t>
      </w:r>
      <w:r>
        <w:rPr>
          <w:rFonts w:hint="eastAsia" w:ascii="Times New Roman" w:hAnsi="Times New Roman" w:eastAsia="仿宋_GB2312" w:cs="Times New Roman"/>
          <w:color w:val="auto"/>
          <w:sz w:val="32"/>
          <w:szCs w:val="32"/>
          <w:highlight w:val="none"/>
        </w:rPr>
        <w:t>落实建设占用耕地耕作层土壤剥离利用</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numPr>
          <w:ilvl w:val="0"/>
          <w:numId w:val="1"/>
        </w:numPr>
        <w:kinsoku/>
        <w:wordWrap/>
        <w:overflowPunct/>
        <w:topLinePunct w:val="0"/>
        <w:bidi w:val="0"/>
        <w:adjustRightInd/>
        <w:snapToGrid/>
        <w:spacing w:line="600" w:lineRule="exact"/>
        <w:ind w:left="645" w:leftChars="0"/>
        <w:textAlignment w:val="baseline"/>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请你市人民政府按照《中华人民共和国土地管理法》有</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sz w:val="32"/>
          <w:szCs w:val="32"/>
          <w:highlight w:val="none"/>
          <w:u w:val="none"/>
          <w:lang w:eastAsia="zh-CN"/>
        </w:rPr>
        <w:t>你市相关不动产登记机构依此办理集体土地所有权注销或变更登记。</w:t>
      </w:r>
    </w:p>
    <w:p>
      <w:pPr>
        <w:widowControl/>
        <w:spacing w:line="560" w:lineRule="exact"/>
        <w:ind w:firstLine="645"/>
        <w:textAlignment w:val="baseline"/>
        <w:rPr>
          <w:rFonts w:eastAsia="仿宋_GB2312"/>
          <w:b w:val="0"/>
          <w:color w:val="000000"/>
          <w:sz w:val="32"/>
          <w:szCs w:val="32"/>
        </w:rPr>
      </w:pPr>
      <w:r>
        <w:rPr>
          <w:rFonts w:eastAsia="仿宋_GB2312"/>
          <w:color w:val="000000"/>
          <w:sz w:val="32"/>
          <w:szCs w:val="32"/>
        </w:rPr>
        <w:t>四、</w:t>
      </w:r>
      <w:r>
        <w:rPr>
          <w:rFonts w:hint="default" w:ascii="Times New Roman" w:hAnsi="Times New Roman" w:eastAsia="仿宋_GB2312" w:cs="Times New Roman"/>
          <w:b w:val="0"/>
          <w:bCs w:val="0"/>
          <w:color w:val="000000"/>
          <w:kern w:val="0"/>
          <w:sz w:val="32"/>
          <w:szCs w:val="32"/>
          <w:lang w:eastAsia="zh-CN" w:bidi="ar"/>
        </w:rPr>
        <w:t>使用土地涉及</w:t>
      </w:r>
      <w:r>
        <w:rPr>
          <w:rFonts w:hint="eastAsia" w:ascii="Times New Roman" w:hAnsi="Times New Roman" w:eastAsia="仿宋_GB2312" w:cs="Times New Roman"/>
          <w:b w:val="0"/>
          <w:bCs w:val="0"/>
          <w:color w:val="000000"/>
          <w:kern w:val="0"/>
          <w:sz w:val="32"/>
          <w:szCs w:val="32"/>
          <w:lang w:eastAsia="zh-CN" w:bidi="ar"/>
        </w:rPr>
        <w:t>的耕地占用税等</w:t>
      </w:r>
      <w:r>
        <w:rPr>
          <w:rFonts w:hint="default" w:ascii="Times New Roman" w:hAnsi="Times New Roman" w:eastAsia="仿宋_GB2312" w:cs="Times New Roman"/>
          <w:b w:val="0"/>
          <w:bCs w:val="0"/>
          <w:color w:val="000000"/>
          <w:kern w:val="0"/>
          <w:sz w:val="32"/>
          <w:szCs w:val="32"/>
          <w:lang w:eastAsia="zh-CN" w:bidi="ar"/>
        </w:rPr>
        <w:t>有关税费请按有关规定办理</w:t>
      </w:r>
      <w:r>
        <w:rPr>
          <w:rFonts w:hint="default" w:ascii="Times New Roman" w:hAnsi="Times New Roman" w:eastAsia="仿宋_GB2312" w:cs="Times New Roman"/>
          <w:color w:val="000000"/>
          <w:kern w:val="0"/>
          <w:sz w:val="32"/>
          <w:szCs w:val="32"/>
          <w:highlight w:val="none"/>
          <w:lang w:val="en-US" w:eastAsia="zh-CN" w:bidi="ar"/>
        </w:rPr>
        <w:t>。</w:t>
      </w: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b w:val="0"/>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u w:val="none"/>
        </w:rPr>
        <w:t>批后实施情况和</w:t>
      </w:r>
      <w:r>
        <w:rPr>
          <w:rFonts w:ascii="Times New Roman" w:hAnsi="Times New Roman" w:eastAsia="仿宋_GB2312" w:cs="Times New Roman"/>
          <w:color w:val="auto"/>
          <w:sz w:val="32"/>
          <w:szCs w:val="32"/>
          <w:highlight w:val="none"/>
        </w:rPr>
        <w:t>具体项目供地情况须按规定报备。</w:t>
      </w: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ind w:firstLine="645"/>
        <w:textAlignment w:val="baseline"/>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广东省人民政府</w:t>
      </w:r>
    </w:p>
    <w:p>
      <w:pPr>
        <w:keepNext w:val="0"/>
        <w:keepLines w:val="0"/>
        <w:pageBreakBefore w:val="0"/>
        <w:widowControl/>
        <w:kinsoku/>
        <w:wordWrap/>
        <w:overflowPunct/>
        <w:topLinePunct w:val="0"/>
        <w:bidi w:val="0"/>
        <w:adjustRightInd/>
        <w:snapToGrid/>
        <w:spacing w:line="600" w:lineRule="exact"/>
        <w:ind w:firstLine="645"/>
        <w:jc w:val="center"/>
        <w:textAlignment w:val="baseline"/>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29</w:t>
      </w:r>
      <w:bookmarkStart w:id="0" w:name="_GoBack"/>
      <w:bookmarkEnd w:id="0"/>
      <w:r>
        <w:rPr>
          <w:rFonts w:ascii="Times New Roman" w:hAnsi="Times New Roman" w:eastAsia="仿宋_GB2312" w:cs="Times New Roman"/>
          <w:color w:val="auto"/>
          <w:sz w:val="32"/>
          <w:szCs w:val="32"/>
          <w:highlight w:val="none"/>
        </w:rPr>
        <w:t>日</w:t>
      </w:r>
    </w:p>
    <w:p>
      <w:pPr>
        <w:keepNext w:val="0"/>
        <w:keepLines w:val="0"/>
        <w:pageBreakBefore w:val="0"/>
        <w:widowControl/>
        <w:kinsoku/>
        <w:wordWrap/>
        <w:overflowPunct/>
        <w:topLinePunct w:val="0"/>
        <w:bidi w:val="0"/>
        <w:adjustRightInd/>
        <w:snapToGrid/>
        <w:spacing w:line="600" w:lineRule="exact"/>
        <w:textAlignment w:val="baseline"/>
        <w:rPr>
          <w:rFonts w:hint="eastAsia" w:ascii="Times New Roman" w:hAnsi="Times New Roman" w:eastAsia="仿宋_GB2312"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560" w:lineRule="exact"/>
        <w:ind w:left="947" w:leftChars="201" w:hanging="525" w:hangingChars="250"/>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C3238"/>
    <w:multiLevelType w:val="singleLevel"/>
    <w:tmpl w:val="3A5C32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mJlMmE1NjMwOGJhZWZlNWU4ZWZmYjQxYzljYzcifQ=="/>
  </w:docVars>
  <w:rsids>
    <w:rsidRoot w:val="00000000"/>
    <w:rsid w:val="04721E0F"/>
    <w:rsid w:val="06150E56"/>
    <w:rsid w:val="06767895"/>
    <w:rsid w:val="08FE697A"/>
    <w:rsid w:val="09F2308E"/>
    <w:rsid w:val="0D1A3491"/>
    <w:rsid w:val="11505AA6"/>
    <w:rsid w:val="16F72DAD"/>
    <w:rsid w:val="18163C17"/>
    <w:rsid w:val="1D971FD1"/>
    <w:rsid w:val="23AF5722"/>
    <w:rsid w:val="26AD21BF"/>
    <w:rsid w:val="2EA61615"/>
    <w:rsid w:val="2EF827B9"/>
    <w:rsid w:val="3A004098"/>
    <w:rsid w:val="3C8C7164"/>
    <w:rsid w:val="3DBD4233"/>
    <w:rsid w:val="4BEC4054"/>
    <w:rsid w:val="4F24091B"/>
    <w:rsid w:val="53303CE8"/>
    <w:rsid w:val="57F93B84"/>
    <w:rsid w:val="60000F1F"/>
    <w:rsid w:val="645E737C"/>
    <w:rsid w:val="69BA4A57"/>
    <w:rsid w:val="7CB5030B"/>
    <w:rsid w:val="7ED9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2026-04-16T06:02:00Z</dcterms:created>
  <dc:creator>qw</dc:creator>
  <cp:lastModifiedBy>石伟雄</cp:lastModifiedBy>
  <dcterms:modified xsi:type="dcterms:W3CDTF">2026-07-23T09:30:12Z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8D75EBC82770410DA473FBD83A544B01_12</vt:lpwstr>
  </property>
</Properties>
</file>