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right"/>
        <w:rPr>
          <w:rFonts w:hint="eastAsia" w:ascii="方正小标宋_GBK" w:hAnsi="方正小标宋_GBK" w:eastAsia="方正小标宋_GBK" w:cs="方正小标宋_GBK"/>
          <w:bCs/>
          <w:color w:val="auto"/>
          <w:sz w:val="44"/>
          <w:szCs w:val="44"/>
        </w:rPr>
      </w:pPr>
      <w:r>
        <w:rPr>
          <w:rFonts w:hint="eastAsia" w:eastAsia="仿宋_GB2312" w:cs="Times New Roman"/>
          <w:sz w:val="32"/>
          <w:szCs w:val="32"/>
          <w:highlight w:val="none"/>
          <w:lang w:val="en-US" w:eastAsia="zh-CN"/>
        </w:rPr>
        <w:t>粤府土审（02）〔2026〕103号</w:t>
      </w:r>
    </w:p>
    <w:p>
      <w:pPr>
        <w:spacing w:line="560" w:lineRule="exact"/>
        <w:jc w:val="center"/>
        <w:rPr>
          <w:rFonts w:hint="eastAsia" w:ascii="方正小标宋_GBK" w:hAnsi="方正小标宋_GBK" w:eastAsia="方正小标宋_GBK" w:cs="方正小标宋_GBK"/>
          <w:bCs/>
          <w:color w:val="auto"/>
          <w:sz w:val="44"/>
          <w:szCs w:val="44"/>
        </w:rPr>
      </w:pPr>
    </w:p>
    <w:p>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t>广东省人民政府关于广州市花都区20</w:t>
      </w:r>
      <w:r>
        <w:rPr>
          <w:rFonts w:hint="eastAsia" w:ascii="方正小标宋_GBK" w:hAnsi="方正小标宋_GBK" w:eastAsia="方正小标宋_GBK" w:cs="方正小标宋_GBK"/>
          <w:bCs/>
          <w:color w:val="auto"/>
          <w:sz w:val="44"/>
          <w:szCs w:val="44"/>
          <w:lang w:val="en-US" w:eastAsia="zh-CN"/>
        </w:rPr>
        <w:t>24</w:t>
      </w:r>
      <w:r>
        <w:rPr>
          <w:rFonts w:hint="eastAsia" w:ascii="方正小标宋_GBK" w:hAnsi="方正小标宋_GBK" w:eastAsia="方正小标宋_GBK" w:cs="方正小标宋_GBK"/>
          <w:bCs/>
          <w:color w:val="auto"/>
          <w:sz w:val="44"/>
          <w:szCs w:val="44"/>
        </w:rPr>
        <w:t>年度</w:t>
      </w:r>
    </w:p>
    <w:p>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rPr>
        <w:t>第</w:t>
      </w:r>
      <w:r>
        <w:rPr>
          <w:rFonts w:hint="eastAsia" w:ascii="方正小标宋_GBK" w:hAnsi="方正小标宋_GBK" w:eastAsia="方正小标宋_GBK" w:cs="方正小标宋_GBK"/>
          <w:bCs/>
          <w:color w:val="auto"/>
          <w:sz w:val="44"/>
          <w:szCs w:val="44"/>
          <w:lang w:val="en-US" w:eastAsia="zh-CN"/>
        </w:rPr>
        <w:t>十三</w:t>
      </w:r>
      <w:r>
        <w:rPr>
          <w:rFonts w:hint="eastAsia" w:ascii="方正小标宋_GBK" w:hAnsi="方正小标宋_GBK" w:eastAsia="方正小标宋_GBK" w:cs="方正小标宋_GBK"/>
          <w:bCs/>
          <w:color w:val="auto"/>
          <w:sz w:val="44"/>
          <w:szCs w:val="44"/>
        </w:rPr>
        <w:t>批次城镇建设用地</w:t>
      </w:r>
      <w:r>
        <w:rPr>
          <w:rFonts w:hint="eastAsia" w:ascii="方正小标宋_GBK" w:hAnsi="方正小标宋_GBK" w:eastAsia="方正小标宋_GBK" w:cs="方正小标宋_GBK"/>
          <w:bCs/>
          <w:color w:val="auto"/>
          <w:sz w:val="44"/>
          <w:szCs w:val="44"/>
          <w:u w:val="none"/>
        </w:rPr>
        <w:t>的批复</w:t>
      </w:r>
    </w:p>
    <w:p>
      <w:pPr>
        <w:widowControl/>
        <w:spacing w:line="600" w:lineRule="exact"/>
        <w:jc w:val="center"/>
        <w:textAlignment w:val="baseline"/>
        <w:rPr>
          <w:rFonts w:hint="eastAsia"/>
          <w:b/>
          <w:color w:val="auto"/>
          <w:sz w:val="32"/>
          <w:szCs w:val="32"/>
          <w:u w:val="none"/>
        </w:rPr>
      </w:pPr>
    </w:p>
    <w:p>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pPr>
        <w:keepNext w:val="0"/>
        <w:keepLines w:val="0"/>
        <w:pageBreakBefore w:val="0"/>
        <w:widowControl/>
        <w:kinsoku/>
        <w:wordWrap/>
        <w:overflowPunct/>
        <w:topLinePunct w:val="0"/>
        <w:bidi w:val="0"/>
        <w:adjustRightInd/>
        <w:snapToGrid/>
        <w:spacing w:line="560" w:lineRule="exact"/>
        <w:ind w:firstLine="645"/>
        <w:textAlignment w:val="baseline"/>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花都区人民政府关于申请广州市花都区2024年度第十三批次城镇建设用地土地征收的请示》（花府字〔2026〕22号）及相关材料已通过审核。根据《中华人民共和国土地管理法》第四十四、四十五、四十六条，批复如下：</w:t>
      </w:r>
    </w:p>
    <w:p>
      <w:pPr>
        <w:pStyle w:val="7"/>
        <w:keepNext w:val="0"/>
        <w:keepLines w:val="0"/>
        <w:pageBreakBefore w:val="0"/>
        <w:widowControl w:val="0"/>
        <w:numPr>
          <w:ilvl w:val="0"/>
          <w:numId w:val="1"/>
        </w:numPr>
        <w:kinsoku/>
        <w:wordWrap/>
        <w:overflowPunct/>
        <w:topLinePunct w:val="0"/>
        <w:autoSpaceDE w:val="0"/>
        <w:autoSpaceDN w:val="0"/>
        <w:bidi w:val="0"/>
        <w:adjustRightInd/>
        <w:snapToGrid/>
        <w:spacing w:line="560" w:lineRule="exact"/>
        <w:ind w:firstLine="632" w:firstLineChars="200"/>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0.5898</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w:t>
      </w:r>
      <w:bookmarkStart w:id="0" w:name="OLE_LINK1"/>
      <w:r>
        <w:rPr>
          <w:rFonts w:hint="eastAsia" w:ascii="Times New Roman" w:hAnsi="Times New Roman" w:eastAsia="仿宋_GB2312" w:cs="Times New Roman"/>
          <w:color w:val="auto"/>
          <w:kern w:val="2"/>
          <w:sz w:val="32"/>
          <w:szCs w:val="32"/>
          <w:highlight w:val="none"/>
          <w:u w:val="none"/>
          <w:lang w:val="en-US" w:eastAsia="zh-CN" w:bidi="ar-SA"/>
        </w:rPr>
        <w:t>花都区</w:t>
      </w:r>
      <w:bookmarkEnd w:id="0"/>
      <w:r>
        <w:rPr>
          <w:rFonts w:hint="eastAsia" w:eastAsia="仿宋_GB2312" w:cs="Times New Roman"/>
          <w:color w:val="auto"/>
          <w:kern w:val="2"/>
          <w:sz w:val="32"/>
          <w:szCs w:val="32"/>
          <w:highlight w:val="none"/>
          <w:u w:val="none"/>
          <w:lang w:val="en-US" w:eastAsia="zh-CN" w:bidi="ar-SA"/>
        </w:rPr>
        <w:t>花东镇象山村第三经济合作社属下的集体农用地0.5898公顷（不涉及耕地）转为建设用地，以上合计0.5898公顷集体土地一并办理征地手续。上述批准建设用地0.5898公顷由当地人民政府依法依规供应。</w:t>
      </w:r>
    </w:p>
    <w:p>
      <w:pPr>
        <w:keepNext w:val="0"/>
        <w:keepLines w:val="0"/>
        <w:pageBreakBefore w:val="0"/>
        <w:widowControl/>
        <w:numPr>
          <w:ilvl w:val="0"/>
          <w:numId w:val="1"/>
        </w:numPr>
        <w:kinsoku/>
        <w:wordWrap/>
        <w:overflowPunct/>
        <w:topLinePunct w:val="0"/>
        <w:bidi w:val="0"/>
        <w:adjustRightInd/>
        <w:snapToGrid/>
        <w:spacing w:line="560" w:lineRule="exact"/>
        <w:ind w:left="0" w:leftChars="0" w:firstLine="632"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你市相关不动产登记机构依此办理集体土地所有权注销或变更登记。</w:t>
      </w:r>
    </w:p>
    <w:p>
      <w:pPr>
        <w:keepNext w:val="0"/>
        <w:keepLines w:val="0"/>
        <w:pageBreakBefore w:val="0"/>
        <w:widowControl/>
        <w:kinsoku/>
        <w:wordWrap/>
        <w:overflowPunct/>
        <w:topLinePunct w:val="0"/>
        <w:bidi w:val="0"/>
        <w:adjustRightInd/>
        <w:snapToGrid/>
        <w:spacing w:line="560" w:lineRule="exact"/>
        <w:ind w:firstLine="645"/>
        <w:textAlignment w:val="baseline"/>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使用土地涉及的耕地占用税等有关税费请按规定办理。</w:t>
      </w:r>
    </w:p>
    <w:p>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pPr>
        <w:widowControl/>
        <w:spacing w:line="600" w:lineRule="exact"/>
        <w:textAlignment w:val="baseline"/>
        <w:rPr>
          <w:rFonts w:hint="eastAsia" w:ascii="仿宋_GB2312" w:hAnsi="仿宋_GB2312" w:eastAsia="仿宋_GB2312" w:cs="仿宋_GB2312"/>
          <w:color w:val="auto"/>
          <w:sz w:val="32"/>
          <w:szCs w:val="32"/>
        </w:rPr>
      </w:pPr>
    </w:p>
    <w:p>
      <w:pPr>
        <w:widowControl/>
        <w:spacing w:line="600" w:lineRule="exact"/>
        <w:textAlignment w:val="baseline"/>
        <w:rPr>
          <w:rFonts w:hint="eastAsia" w:ascii="仿宋_GB2312" w:hAnsi="仿宋_GB2312" w:eastAsia="仿宋_GB2312" w:cs="仿宋_GB2312"/>
          <w:color w:val="auto"/>
          <w:sz w:val="32"/>
          <w:szCs w:val="32"/>
        </w:rPr>
      </w:pPr>
    </w:p>
    <w:p>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w:t>
      </w:r>
      <w:r>
        <w:rPr>
          <w:rFonts w:hint="eastAsia" w:eastAsia="仿宋_GB2312" w:cs="Times New Roman"/>
          <w:color w:val="auto"/>
          <w:kern w:val="2"/>
          <w:sz w:val="32"/>
          <w:szCs w:val="32"/>
          <w:highlight w:val="none"/>
          <w:u w:val="none"/>
          <w:lang w:val="en-US" w:eastAsia="zh-CN" w:bidi="ar-SA"/>
        </w:rPr>
        <w:t>6</w:t>
      </w:r>
      <w:r>
        <w:rPr>
          <w:rFonts w:hint="eastAsia" w:ascii="Times New Roman" w:hAnsi="Times New Roman" w:eastAsia="仿宋_GB2312" w:cs="Times New Roman"/>
          <w:color w:val="auto"/>
          <w:kern w:val="2"/>
          <w:sz w:val="32"/>
          <w:szCs w:val="32"/>
          <w:highlight w:val="none"/>
          <w:u w:val="none"/>
          <w:lang w:val="en-US" w:eastAsia="zh-CN" w:bidi="ar-SA"/>
        </w:rPr>
        <w:t>年</w:t>
      </w:r>
      <w:r>
        <w:rPr>
          <w:rFonts w:hint="eastAsia" w:eastAsia="仿宋_GB2312" w:cs="Times New Roman"/>
          <w:color w:val="auto"/>
          <w:kern w:val="2"/>
          <w:sz w:val="32"/>
          <w:szCs w:val="32"/>
          <w:highlight w:val="none"/>
          <w:u w:val="none"/>
          <w:lang w:val="en-US" w:eastAsia="zh-CN" w:bidi="ar-SA"/>
        </w:rPr>
        <w:t>5</w:t>
      </w:r>
      <w:r>
        <w:rPr>
          <w:rFonts w:hint="eastAsia" w:ascii="Times New Roman" w:hAnsi="Times New Roman" w:eastAsia="仿宋_GB2312" w:cs="Times New Roman"/>
          <w:color w:val="auto"/>
          <w:kern w:val="2"/>
          <w:sz w:val="32"/>
          <w:szCs w:val="32"/>
          <w:highlight w:val="none"/>
          <w:u w:val="none"/>
          <w:lang w:val="en-US" w:eastAsia="zh-CN" w:bidi="ar-SA"/>
        </w:rPr>
        <w:t>月</w:t>
      </w:r>
      <w:r>
        <w:rPr>
          <w:rFonts w:hint="eastAsia" w:eastAsia="仿宋_GB2312" w:cs="Times New Roman"/>
          <w:color w:val="auto"/>
          <w:kern w:val="2"/>
          <w:sz w:val="32"/>
          <w:szCs w:val="32"/>
          <w:highlight w:val="none"/>
          <w:u w:val="none"/>
          <w:lang w:val="en-US" w:eastAsia="zh-CN" w:bidi="ar-SA"/>
        </w:rPr>
        <w:t>14</w:t>
      </w:r>
      <w:r>
        <w:rPr>
          <w:rFonts w:hint="eastAsia" w:ascii="仿宋_GB2312" w:hAnsi="仿宋_GB2312" w:eastAsia="仿宋_GB2312" w:cs="仿宋_GB2312"/>
          <w:color w:val="auto"/>
          <w:sz w:val="32"/>
          <w:szCs w:val="32"/>
        </w:rPr>
        <w:t>日</w:t>
      </w: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w:t>
      </w:r>
      <w:bookmarkStart w:id="1" w:name="_GoBack"/>
      <w:bookmarkEnd w:id="1"/>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Fonts w:hint="eastAsia"/>
        <w:sz w:val="28"/>
        <w:szCs w:val="28"/>
      </w:rPr>
    </w:pPr>
    <w:r>
      <w:rPr>
        <w:rStyle w:val="6"/>
        <w:rFonts w:hint="eastAsia"/>
        <w:sz w:val="28"/>
        <w:szCs w:val="28"/>
      </w:rPr>
      <w:t xml:space="preserve">— </w:t>
    </w:r>
    <w:r>
      <w:rPr>
        <w:sz w:val="28"/>
        <w:szCs w:val="28"/>
      </w:rPr>
      <w:fldChar w:fldCharType="begin"/>
    </w:r>
    <w:r>
      <w:rPr>
        <w:rStyle w:val="6"/>
        <w:sz w:val="28"/>
        <w:szCs w:val="28"/>
      </w:rPr>
      <w:instrText xml:space="preserve">PAGE  </w:instrText>
    </w:r>
    <w:r>
      <w:rPr>
        <w:sz w:val="28"/>
        <w:szCs w:val="28"/>
      </w:rPr>
      <w:fldChar w:fldCharType="separate"/>
    </w:r>
    <w:r>
      <w:rPr>
        <w:rStyle w:val="6"/>
        <w:sz w:val="28"/>
        <w:szCs w:val="28"/>
      </w:rPr>
      <w:t>4</w:t>
    </w:r>
    <w:r>
      <w:rPr>
        <w:sz w:val="28"/>
        <w:szCs w:val="28"/>
      </w:rPr>
      <w:fldChar w:fldCharType="end"/>
    </w:r>
    <w:r>
      <w:rPr>
        <w:rStyle w:val="6"/>
        <w:rFonts w:hint="eastAsia"/>
        <w:sz w:val="28"/>
        <w:szCs w:val="28"/>
      </w:rPr>
      <w:t xml:space="preserve"> —</w:t>
    </w:r>
  </w:p>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Pr>
    </w:pPr>
    <w:r>
      <w:fldChar w:fldCharType="begin"/>
    </w:r>
    <w:r>
      <w:rPr>
        <w:rStyle w:val="6"/>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F19352"/>
    <w:multiLevelType w:val="singleLevel"/>
    <w:tmpl w:val="4FF1935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26C2F25"/>
    <w:rsid w:val="02810FF7"/>
    <w:rsid w:val="0346238A"/>
    <w:rsid w:val="055C27B5"/>
    <w:rsid w:val="0C9920D9"/>
    <w:rsid w:val="0F7B02F4"/>
    <w:rsid w:val="0FE8454D"/>
    <w:rsid w:val="109F6DD2"/>
    <w:rsid w:val="13236B26"/>
    <w:rsid w:val="15EA2560"/>
    <w:rsid w:val="26AD3E24"/>
    <w:rsid w:val="2E6F1820"/>
    <w:rsid w:val="32043682"/>
    <w:rsid w:val="33935FAE"/>
    <w:rsid w:val="34733AF4"/>
    <w:rsid w:val="381E4F28"/>
    <w:rsid w:val="3BBA7AA0"/>
    <w:rsid w:val="3E8770EB"/>
    <w:rsid w:val="407B1783"/>
    <w:rsid w:val="429C3C8E"/>
    <w:rsid w:val="44481963"/>
    <w:rsid w:val="483A73C5"/>
    <w:rsid w:val="4C9C00C8"/>
    <w:rsid w:val="4F3A3A5E"/>
    <w:rsid w:val="4F5579DC"/>
    <w:rsid w:val="4F617A2B"/>
    <w:rsid w:val="506F56B2"/>
    <w:rsid w:val="51C56C38"/>
    <w:rsid w:val="54AD5139"/>
    <w:rsid w:val="555846C7"/>
    <w:rsid w:val="56A7023F"/>
    <w:rsid w:val="579D2DD8"/>
    <w:rsid w:val="59B07162"/>
    <w:rsid w:val="5D265BA5"/>
    <w:rsid w:val="5D293D56"/>
    <w:rsid w:val="5EE0577F"/>
    <w:rsid w:val="6D593268"/>
    <w:rsid w:val="770C5427"/>
    <w:rsid w:val="7BC435A7"/>
    <w:rsid w:val="7BF82EAB"/>
    <w:rsid w:val="7D793B7C"/>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szCs w:val="18"/>
    </w:rPr>
  </w:style>
  <w:style w:type="character" w:styleId="6">
    <w:name w:val="page number"/>
    <w:basedOn w:val="5"/>
    <w:qFormat/>
    <w:uiPriority w:val="0"/>
  </w:style>
  <w:style w:type="paragraph" w:customStyle="1" w:styleId="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12</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Administered</cp:lastModifiedBy>
  <dcterms:modified xsi:type="dcterms:W3CDTF">2026-07-16T07:07:07Z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50C58CED391548A2B10BA66E45B58CF7</vt:lpwstr>
  </property>
</Properties>
</file>