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仿宋_GB2312"/>
          <w:lang w:val="en-US" w:eastAsia="zh-CN"/>
        </w:rPr>
      </w:pPr>
      <w:r>
        <w:rPr>
          <w:rFonts w:hint="eastAsia"/>
          <w:lang w:eastAsia="zh-CN"/>
        </w:rPr>
        <w:t>附件</w:t>
      </w:r>
      <w:r>
        <w:rPr>
          <w:rFonts w:hint="eastAsia"/>
          <w:lang w:val="en-US" w:eastAsia="zh-CN"/>
        </w:rPr>
        <w:t>3</w:t>
      </w:r>
    </w:p>
    <w:p>
      <w:pPr>
        <w:keepNext w:val="0"/>
        <w:keepLines w:val="0"/>
        <w:pageBreakBefore w:val="0"/>
        <w:widowControl/>
        <w:spacing w:line="760" w:lineRule="exact"/>
        <w:ind w:firstLine="0" w:firstLineChars="0"/>
        <w:jc w:val="center"/>
        <w:outlineLvl w:val="9"/>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广州市从化区人民政府征地</w:t>
      </w:r>
    </w:p>
    <w:p>
      <w:pPr>
        <w:keepNext w:val="0"/>
        <w:keepLines w:val="0"/>
        <w:pageBreakBefore w:val="0"/>
        <w:widowControl/>
        <w:spacing w:line="760" w:lineRule="exact"/>
        <w:ind w:firstLine="0" w:firstLineChars="0"/>
        <w:jc w:val="center"/>
        <w:outlineLvl w:val="9"/>
        <w:rPr>
          <w:rFonts w:hint="default" w:ascii="Times New Roman" w:hAnsi="Times New Roman" w:eastAsia="仿宋_GB2312" w:cs="Times New Roman"/>
          <w:color w:val="auto"/>
          <w:sz w:val="32"/>
          <w:szCs w:val="32"/>
          <w:lang w:val="en-US" w:eastAsia="zh-CN"/>
        </w:rPr>
      </w:pPr>
      <w:r>
        <w:rPr>
          <w:rFonts w:hint="eastAsia" w:ascii="方正小标宋简体" w:hAnsi="方正小标宋简体" w:eastAsia="方正小标宋简体"/>
          <w:sz w:val="44"/>
          <w:szCs w:val="44"/>
          <w:lang w:eastAsia="zh-CN"/>
        </w:rPr>
        <w:t>补偿安置方案公告</w:t>
      </w:r>
    </w:p>
    <w:p>
      <w:pPr>
        <w:spacing w:line="240" w:lineRule="auto"/>
        <w:ind w:firstLine="0" w:firstLineChars="0"/>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keepNext w:val="0"/>
        <w:keepLines w:val="0"/>
        <w:pageBreakBefore w:val="0"/>
        <w:widowControl w:val="0"/>
        <w:spacing w:line="640" w:lineRule="exact"/>
        <w:ind w:firstLine="2528" w:firstLineChars="800"/>
        <w:rPr>
          <w:rFonts w:hint="eastAsia" w:ascii="Times New Roman" w:hAnsi="Times New Roman" w:eastAsia="仿宋_GB2312"/>
          <w:color w:val="000000"/>
          <w:sz w:val="32"/>
          <w:szCs w:val="32"/>
          <w:lang w:val="en-US" w:eastAsia="zh-CN"/>
        </w:rPr>
      </w:pPr>
      <w:bookmarkStart w:id="0" w:name="Content"/>
      <w:r>
        <w:rPr>
          <w:rFonts w:hint="default"/>
        </w:rPr>
        <w:t xml:space="preserve"> 穗</w:t>
      </w:r>
      <w:r>
        <w:rPr>
          <w:rFonts w:hint="default"/>
          <w:lang w:eastAsia="zh-CN"/>
        </w:rPr>
        <w:t>从</w:t>
      </w:r>
      <w:r>
        <w:rPr>
          <w:rFonts w:hint="default"/>
        </w:rPr>
        <w:t>府征前公〔20</w:t>
      </w:r>
      <w:r>
        <w:rPr>
          <w:rFonts w:hint="default"/>
          <w:lang w:val="en-US" w:eastAsia="zh-CN"/>
        </w:rPr>
        <w:t>2</w:t>
      </w:r>
      <w:r>
        <w:rPr>
          <w:rFonts w:hint="eastAsia"/>
          <w:lang w:val="en-US" w:eastAsia="zh-CN"/>
        </w:rPr>
        <w:t>6</w:t>
      </w:r>
      <w:r>
        <w:rPr>
          <w:rFonts w:hint="default"/>
        </w:rPr>
        <w:t>〕</w:t>
      </w:r>
      <w:r>
        <w:rPr>
          <w:rFonts w:hint="eastAsia"/>
          <w:lang w:val="en-US" w:eastAsia="zh-CN"/>
        </w:rPr>
        <w:t>9</w:t>
      </w:r>
      <w:r>
        <w:rPr>
          <w:rFonts w:hint="default"/>
        </w:rPr>
        <w:t>号</w:t>
      </w:r>
    </w:p>
    <w:p>
      <w:pPr>
        <w:keepNext w:val="0"/>
        <w:keepLines w:val="0"/>
        <w:pageBreakBefore w:val="0"/>
        <w:widowControl w:val="0"/>
        <w:spacing w:line="640" w:lineRule="exact"/>
        <w:ind w:firstLine="632" w:firstLineChars="200"/>
        <w:rPr>
          <w:rFonts w:hint="eastAsia" w:ascii="Times New Roman" w:hAnsi="Times New Roman" w:eastAsia="仿宋_GB2312"/>
          <w:color w:val="000000"/>
          <w:sz w:val="32"/>
          <w:szCs w:val="32"/>
        </w:rPr>
      </w:pP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w:t>
      </w:r>
      <w:bookmarkStart w:id="10" w:name="_GoBack"/>
      <w:bookmarkEnd w:id="10"/>
      <w:r>
        <w:rPr>
          <w:rFonts w:hint="eastAsia" w:ascii="Times New Roman" w:hAnsi="Times New Roman" w:eastAsia="仿宋_GB2312"/>
          <w:color w:val="000000"/>
          <w:sz w:val="32"/>
          <w:szCs w:val="32"/>
        </w:rPr>
        <w:t>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025</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val="en-US" w:eastAsia="zh-CN"/>
        </w:rPr>
        <w:t>第三十七</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0"/>
          <w:numId w:val="1"/>
        </w:numPr>
        <w:spacing w:line="240" w:lineRule="auto"/>
        <w:ind w:firstLine="632" w:firstLineChars="200"/>
        <w:rPr>
          <w:rFonts w:ascii="Times New Roman" w:hAnsi="Times New Roman" w:eastAsia="黑体"/>
          <w:color w:val="000000"/>
          <w:sz w:val="32"/>
          <w:szCs w:val="32"/>
          <w:lang w:val="en-US" w:eastAsia="zh-CN"/>
        </w:rPr>
      </w:pPr>
      <w:r>
        <w:rPr>
          <w:rFonts w:ascii="Times New Roman" w:hAnsi="Times New Roman"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红旗村太和股份合作经济社、白水塘股份合作经济社、大围股份合作经济社、宏记股份合作经济社、塘下村第三股份合作经济社、第四股份合作经济社、第五股份合作经济社、第六股份合作经济社、第七股份合作经济社、第八股份合作经济社、第十五股份合作经济社</w:t>
      </w:r>
      <w:bookmarkStart w:id="1" w:name="OLE_LINK1"/>
      <w:bookmarkEnd w:id="1"/>
      <w:bookmarkStart w:id="2" w:name="OLE_LINK3"/>
      <w:bookmarkEnd w:id="2"/>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sectPr>
          <w:footerReference r:id="rId5" w:type="default"/>
          <w:type w:val="continuous"/>
          <w:pgSz w:w="11906" w:h="16838"/>
          <w:pgMar w:top="1984" w:right="1531" w:bottom="1984" w:left="1531" w:header="0" w:footer="1417" w:gutter="0"/>
          <w:pgNumType w:fmt="decimal"/>
          <w:cols w:space="0" w:num="1"/>
          <w:docGrid w:type="linesAndChars" w:linePitch="585" w:charSpace="-849"/>
        </w:sectPr>
      </w:pP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二、征收目的</w:t>
      </w: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rPr>
        <w:t>根据</w:t>
      </w:r>
      <w:r>
        <w:rPr>
          <w:rFonts w:ascii="Times New Roman" w:hAnsi="Times New Roman" w:eastAsia="仿宋_GB2312"/>
          <w:color w:val="000000"/>
          <w:sz w:val="32"/>
          <w:szCs w:val="32"/>
        </w:rPr>
        <w:t>《中华人民共和国土地管理法》</w:t>
      </w:r>
      <w:r>
        <w:rPr>
          <w:rFonts w:hint="eastAsia" w:ascii="Times New Roman" w:hAnsi="Times New Roman" w:eastAsia="仿宋_GB2312"/>
          <w:color w:val="000000"/>
          <w:sz w:val="32"/>
          <w:szCs w:val="32"/>
        </w:rPr>
        <w:t>第四十五条的规定，本次征收土地的目的为</w:t>
      </w:r>
      <w:r>
        <w:rPr>
          <w:rFonts w:hint="default" w:ascii="Times New Roman" w:hAnsi="Times New Roman" w:eastAsia="仿宋_GB2312"/>
          <w:color w:val="000000"/>
          <w:sz w:val="32"/>
          <w:szCs w:val="32"/>
        </w:rPr>
        <w:t>由政府组织实施的</w:t>
      </w:r>
      <w:r>
        <w:rPr>
          <w:rFonts w:hint="default" w:ascii="Times New Roman" w:hAnsi="Times New Roman" w:eastAsia="仿宋_GB2312"/>
          <w:color w:val="000000"/>
          <w:sz w:val="32"/>
          <w:szCs w:val="32"/>
          <w:lang w:val="en-US" w:eastAsia="zh-CN"/>
        </w:rPr>
        <w:t>交通基础设施建设需要用地。</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default" w:ascii="Times New Roman" w:hAnsi="Times New Roman" w:eastAsia="黑体"/>
          <w:color w:val="000000"/>
          <w:sz w:val="32"/>
          <w:szCs w:val="32"/>
        </w:rPr>
        <w:t>三</w:t>
      </w:r>
      <w:r>
        <w:rPr>
          <w:rFonts w:ascii="Times New Roman" w:hAnsi="Times New Roman" w:eastAsia="黑体"/>
          <w:color w:val="000000"/>
          <w:sz w:val="32"/>
          <w:szCs w:val="32"/>
        </w:rPr>
        <w:t>、</w:t>
      </w:r>
      <w:r>
        <w:rPr>
          <w:rFonts w:hint="default" w:ascii="Times New Roman" w:hAnsi="Times New Roman" w:eastAsia="黑体"/>
          <w:color w:val="000000"/>
          <w:sz w:val="32"/>
          <w:szCs w:val="32"/>
        </w:rPr>
        <w:t>土地现状</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hint="default" w:ascii="Times New Roman" w:hAnsi="Times New Roman" w:eastAsia="仿宋_GB2312"/>
          <w:color w:val="000000"/>
          <w:sz w:val="32"/>
          <w:szCs w:val="32"/>
        </w:rPr>
        <w:t>根据拟征收土地现状调查结果，拟征收土地现状为：</w:t>
      </w:r>
    </w:p>
    <w:p>
      <w:pPr>
        <w:numPr>
          <w:ilvl w:val="0"/>
          <w:numId w:val="0"/>
        </w:numPr>
        <w:spacing w:line="240" w:lineRule="auto"/>
        <w:ind w:firstLine="632" w:firstLineChars="200"/>
        <w:rPr>
          <w:rFonts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一</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w:t>
      </w:r>
      <w:bookmarkStart w:id="3" w:name="OLE_LINK2"/>
      <w:bookmarkEnd w:id="3"/>
      <w:r>
        <w:rPr>
          <w:rFonts w:hint="eastAsia" w:eastAsia="仿宋_GB2312"/>
          <w:color w:val="000000"/>
          <w:sz w:val="32"/>
          <w:szCs w:val="32"/>
          <w:lang w:val="en-US" w:eastAsia="zh-CN"/>
        </w:rPr>
        <w:t>太和股份合作经济社</w:t>
      </w:r>
      <w:r>
        <w:rPr>
          <w:rFonts w:eastAsia="仿宋_GB2312"/>
          <w:color w:val="000000"/>
          <w:sz w:val="32"/>
          <w:szCs w:val="32"/>
        </w:rPr>
        <w:t>集体所有土地</w:t>
      </w:r>
      <w:r>
        <w:rPr>
          <w:rFonts w:hint="eastAsia" w:ascii="Times New Roman" w:hAnsi="Times New Roman" w:eastAsia="仿宋_GB2312"/>
          <w:b w:val="0"/>
          <w:bCs w:val="0"/>
          <w:color w:val="000000"/>
          <w:sz w:val="32"/>
          <w:szCs w:val="32"/>
          <w:lang w:val="en-US" w:eastAsia="zh-CN"/>
        </w:rPr>
        <w:t>4.6567</w:t>
      </w:r>
      <w:r>
        <w:rPr>
          <w:rFonts w:ascii="Times New Roman" w:hAnsi="Times New Roman" w:eastAsia="仿宋_GB2312"/>
          <w:b w:val="0"/>
          <w:bCs w:val="0"/>
          <w:color w:val="000000"/>
          <w:sz w:val="32"/>
          <w:szCs w:val="32"/>
        </w:rPr>
        <w:t>公顷（</w:t>
      </w:r>
      <w:r>
        <w:rPr>
          <w:rFonts w:hint="eastAsia" w:ascii="Times New Roman" w:hAnsi="Times New Roman" w:eastAsia="仿宋_GB2312"/>
          <w:b w:val="0"/>
          <w:bCs w:val="0"/>
          <w:color w:val="000000"/>
          <w:sz w:val="32"/>
          <w:szCs w:val="32"/>
          <w:lang w:val="en-US" w:eastAsia="zh-CN"/>
        </w:rPr>
        <w:t>69.8505</w:t>
      </w:r>
      <w:r>
        <w:rPr>
          <w:rFonts w:ascii="Times New Roman" w:hAnsi="Times New Roman" w:eastAsia="仿宋_GB2312"/>
          <w:b w:val="0"/>
          <w:bCs w:val="0"/>
          <w:color w:val="000000"/>
          <w:sz w:val="32"/>
          <w:szCs w:val="32"/>
        </w:rPr>
        <w:t>亩）</w:t>
      </w:r>
      <w:r>
        <w:rPr>
          <w:rFonts w:ascii="Times New Roman" w:hAnsi="Times New Roman" w:eastAsia="仿宋_GB2312"/>
          <w:color w:val="000000"/>
          <w:sz w:val="32"/>
          <w:szCs w:val="32"/>
        </w:rPr>
        <w:t>。其中</w:t>
      </w:r>
      <w:r>
        <w:rPr>
          <w:rFonts w:ascii="Times New Roman" w:hAnsi="Times New Roman" w:eastAsia="仿宋_GB2312"/>
          <w:color w:val="000000"/>
          <w:sz w:val="32"/>
          <w:szCs w:val="32"/>
          <w:lang w:val="en-US" w:eastAsia="zh-CN"/>
        </w:rPr>
        <w:t>农用地</w:t>
      </w:r>
      <w:r>
        <w:rPr>
          <w:rFonts w:hint="eastAsia" w:ascii="Times New Roman" w:hAnsi="Times New Roman" w:eastAsia="仿宋_GB2312"/>
          <w:b w:val="0"/>
          <w:bCs w:val="0"/>
          <w:color w:val="000000"/>
          <w:sz w:val="32"/>
          <w:szCs w:val="32"/>
          <w:lang w:val="en-US" w:eastAsia="zh-CN"/>
        </w:rPr>
        <w:t>4.6567</w:t>
      </w:r>
      <w:r>
        <w:rPr>
          <w:rFonts w:ascii="Times New Roman" w:hAnsi="Times New Roman" w:eastAsia="仿宋_GB2312"/>
          <w:b w:val="0"/>
          <w:bCs w:val="0"/>
          <w:color w:val="000000"/>
          <w:sz w:val="32"/>
          <w:szCs w:val="32"/>
        </w:rPr>
        <w:t>公顷（</w:t>
      </w:r>
      <w:r>
        <w:rPr>
          <w:rFonts w:hint="eastAsia" w:ascii="Times New Roman" w:hAnsi="Times New Roman" w:eastAsia="仿宋_GB2312"/>
          <w:b w:val="0"/>
          <w:bCs w:val="0"/>
          <w:color w:val="000000"/>
          <w:sz w:val="32"/>
          <w:szCs w:val="32"/>
          <w:lang w:val="en-US" w:eastAsia="zh-CN"/>
        </w:rPr>
        <w:t>69.8505</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val="en-US" w:eastAsia="zh-CN"/>
        </w:rPr>
        <w:t>；不涉及建设用地及未利用地。</w:t>
      </w:r>
    </w:p>
    <w:p>
      <w:pPr>
        <w:numPr>
          <w:ilvl w:val="0"/>
          <w:numId w:val="0"/>
        </w:numPr>
        <w:spacing w:line="240" w:lineRule="auto"/>
        <w:ind w:firstLine="632" w:firstLineChars="200"/>
        <w:rPr>
          <w:rFonts w:hint="eastAsia"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二</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w:t>
      </w:r>
      <w:r>
        <w:rPr>
          <w:rFonts w:hint="eastAsia" w:eastAsia="仿宋_GB2312"/>
          <w:color w:val="000000"/>
          <w:sz w:val="32"/>
          <w:szCs w:val="32"/>
          <w:lang w:val="en-US" w:eastAsia="zh-CN"/>
        </w:rPr>
        <w:t>白水塘股份合作经济社</w:t>
      </w:r>
      <w:r>
        <w:rPr>
          <w:rFonts w:eastAsia="仿宋_GB2312"/>
          <w:color w:val="000000"/>
          <w:sz w:val="32"/>
          <w:szCs w:val="32"/>
        </w:rPr>
        <w:t>集体所有土地</w:t>
      </w:r>
      <w:r>
        <w:rPr>
          <w:rFonts w:hint="eastAsia" w:eastAsia="仿宋_GB2312"/>
          <w:color w:val="000000"/>
          <w:sz w:val="32"/>
          <w:szCs w:val="32"/>
          <w:lang w:val="en-US" w:eastAsia="zh-CN"/>
        </w:rPr>
        <w:t>0.2869公顷（4.3035亩）。其中农用地0.2869公顷（4.3035亩）；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hint="eastAsia"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三</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w:t>
      </w:r>
      <w:r>
        <w:rPr>
          <w:rFonts w:hint="eastAsia" w:eastAsia="仿宋_GB2312"/>
          <w:color w:val="000000"/>
          <w:sz w:val="32"/>
          <w:szCs w:val="32"/>
          <w:lang w:val="en-US" w:eastAsia="zh-CN"/>
        </w:rPr>
        <w:t>大围股份合作经济社</w:t>
      </w:r>
      <w:r>
        <w:rPr>
          <w:rFonts w:eastAsia="仿宋_GB2312"/>
          <w:color w:val="000000"/>
          <w:sz w:val="32"/>
          <w:szCs w:val="32"/>
        </w:rPr>
        <w:t>集体所有土地</w:t>
      </w:r>
      <w:r>
        <w:rPr>
          <w:rFonts w:hint="eastAsia" w:eastAsia="仿宋_GB2312"/>
          <w:color w:val="000000"/>
          <w:sz w:val="32"/>
          <w:szCs w:val="32"/>
          <w:lang w:val="en-US" w:eastAsia="zh-CN"/>
        </w:rPr>
        <w:t>1.0433公顷（15.6495亩）。其中农用地1.0433公顷（15.6495亩）；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hint="eastAsia"/>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四</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w:t>
      </w:r>
      <w:r>
        <w:rPr>
          <w:rFonts w:hint="eastAsia" w:eastAsia="仿宋_GB2312"/>
          <w:color w:val="000000"/>
          <w:sz w:val="32"/>
          <w:szCs w:val="32"/>
          <w:lang w:val="en-US" w:eastAsia="zh-CN"/>
        </w:rPr>
        <w:t>宏记股份合作经济社</w:t>
      </w:r>
      <w:r>
        <w:rPr>
          <w:rFonts w:eastAsia="仿宋_GB2312"/>
          <w:color w:val="000000"/>
          <w:sz w:val="32"/>
          <w:szCs w:val="32"/>
        </w:rPr>
        <w:t>集体所有土地</w:t>
      </w:r>
      <w:r>
        <w:rPr>
          <w:rFonts w:hint="eastAsia" w:eastAsia="仿宋_GB2312"/>
          <w:color w:val="000000"/>
          <w:sz w:val="32"/>
          <w:szCs w:val="32"/>
          <w:lang w:val="en-US" w:eastAsia="zh-CN"/>
        </w:rPr>
        <w:t>1.0833公顷（16.2495亩）。其中农用地1.0833公顷（16.2495亩）；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hint="eastAsia"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五</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村大围、宏记、太和股份合作经济社</w:t>
      </w:r>
      <w:r>
        <w:rPr>
          <w:rFonts w:hint="eastAsia" w:eastAsia="仿宋_GB2312"/>
          <w:color w:val="000000"/>
          <w:sz w:val="32"/>
          <w:szCs w:val="32"/>
          <w:lang w:val="en-US" w:eastAsia="zh-CN"/>
        </w:rPr>
        <w:t>集体</w:t>
      </w:r>
      <w:r>
        <w:rPr>
          <w:rFonts w:hint="eastAsia" w:eastAsia="仿宋_GB2312"/>
          <w:color w:val="000000"/>
          <w:sz w:val="32"/>
          <w:szCs w:val="32"/>
        </w:rPr>
        <w:t>共有</w:t>
      </w:r>
      <w:r>
        <w:rPr>
          <w:rFonts w:hint="eastAsia" w:eastAsia="仿宋_GB2312"/>
          <w:color w:val="000000"/>
          <w:sz w:val="32"/>
          <w:szCs w:val="32"/>
          <w:lang w:val="en-US" w:eastAsia="zh-CN"/>
        </w:rPr>
        <w:t>土地0.0206公顷（0.309亩）。其中农用地0.0206公顷（0.3090亩）；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hint="eastAsia"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六</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w:t>
      </w:r>
      <w:r>
        <w:rPr>
          <w:rFonts w:hint="eastAsia" w:eastAsia="仿宋_GB2312"/>
          <w:color w:val="000000"/>
          <w:sz w:val="32"/>
          <w:szCs w:val="32"/>
          <w:lang w:val="en-US" w:eastAsia="zh-CN"/>
        </w:rPr>
        <w:t>红旗</w:t>
      </w:r>
      <w:r>
        <w:rPr>
          <w:rFonts w:hint="eastAsia" w:eastAsia="仿宋_GB2312"/>
          <w:color w:val="000000"/>
          <w:sz w:val="32"/>
          <w:szCs w:val="32"/>
        </w:rPr>
        <w:t>村大围、宏记、</w:t>
      </w:r>
      <w:r>
        <w:rPr>
          <w:rFonts w:hint="eastAsia" w:eastAsia="仿宋_GB2312"/>
          <w:color w:val="000000"/>
          <w:sz w:val="32"/>
          <w:szCs w:val="32"/>
          <w:lang w:val="en-US" w:eastAsia="zh-CN"/>
        </w:rPr>
        <w:t>白水塘</w:t>
      </w:r>
      <w:r>
        <w:rPr>
          <w:rFonts w:hint="eastAsia" w:eastAsia="仿宋_GB2312"/>
          <w:color w:val="000000"/>
          <w:sz w:val="32"/>
          <w:szCs w:val="32"/>
        </w:rPr>
        <w:t>股份合作经济社</w:t>
      </w:r>
      <w:r>
        <w:rPr>
          <w:rFonts w:hint="eastAsia" w:eastAsia="仿宋_GB2312"/>
          <w:color w:val="000000"/>
          <w:sz w:val="32"/>
          <w:szCs w:val="32"/>
          <w:lang w:val="en-US" w:eastAsia="zh-CN"/>
        </w:rPr>
        <w:t>集体</w:t>
      </w:r>
      <w:r>
        <w:rPr>
          <w:rFonts w:hint="eastAsia" w:eastAsia="仿宋_GB2312"/>
          <w:color w:val="000000"/>
          <w:sz w:val="32"/>
          <w:szCs w:val="32"/>
        </w:rPr>
        <w:t>共有</w:t>
      </w:r>
      <w:r>
        <w:rPr>
          <w:rFonts w:hint="eastAsia" w:eastAsia="仿宋_GB2312"/>
          <w:color w:val="000000"/>
          <w:sz w:val="32"/>
          <w:szCs w:val="32"/>
          <w:lang w:val="en-US" w:eastAsia="zh-CN"/>
        </w:rPr>
        <w:t>土地3.6158公顷（54.237亩）。其中农用地3.6158公顷（54.2370亩）；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hint="eastAsia" w:eastAsia="仿宋_GB2312"/>
          <w:color w:val="000000"/>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七</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城郊街塘下村第三、第四、第五、第十五股份合作经济社集体共有土地2.81公顷（42.15亩）。</w:t>
      </w:r>
      <w:r>
        <w:rPr>
          <w:rFonts w:hint="eastAsia" w:eastAsia="仿宋_GB2312"/>
          <w:color w:val="000000"/>
          <w:sz w:val="32"/>
          <w:szCs w:val="32"/>
          <w:lang w:val="en-US" w:eastAsia="zh-CN"/>
        </w:rPr>
        <w:t>其中农用地</w:t>
      </w:r>
      <w:r>
        <w:rPr>
          <w:rFonts w:hint="eastAsia" w:ascii="Times New Roman" w:hAnsi="Times New Roman" w:eastAsia="仿宋_GB2312"/>
          <w:color w:val="000000"/>
          <w:sz w:val="32"/>
          <w:szCs w:val="32"/>
          <w:lang w:val="en-US" w:eastAsia="zh-CN"/>
        </w:rPr>
        <w:t>2.81公顷（42.15亩）</w:t>
      </w:r>
      <w:r>
        <w:rPr>
          <w:rFonts w:hint="eastAsia" w:eastAsia="仿宋_GB2312"/>
          <w:color w:val="000000"/>
          <w:sz w:val="32"/>
          <w:szCs w:val="32"/>
          <w:lang w:val="en-US" w:eastAsia="zh-CN"/>
        </w:rPr>
        <w:t>；</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建设用地及</w:t>
      </w:r>
      <w:r>
        <w:rPr>
          <w:rFonts w:ascii="Times New Roman" w:hAnsi="Times New Roman" w:eastAsia="仿宋_GB2312"/>
          <w:color w:val="000000"/>
          <w:sz w:val="32"/>
          <w:szCs w:val="32"/>
          <w:lang w:val="en-US" w:eastAsia="zh-CN"/>
        </w:rPr>
        <w:t>未利用地</w:t>
      </w:r>
      <w:r>
        <w:rPr>
          <w:rFonts w:hint="eastAsia" w:eastAsia="仿宋_GB2312"/>
          <w:color w:val="000000"/>
          <w:sz w:val="32"/>
          <w:szCs w:val="32"/>
          <w:lang w:val="en-US" w:eastAsia="zh-CN"/>
        </w:rPr>
        <w:t>。</w:t>
      </w:r>
    </w:p>
    <w:p>
      <w:pPr>
        <w:numPr>
          <w:ilvl w:val="0"/>
          <w:numId w:val="0"/>
        </w:numPr>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八</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拟征收广州市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城郊街塘下村第六、第七、第八、第十五股份合作经济社集体共有土地1.9725公顷（29.5875亩）。</w:t>
      </w:r>
      <w:r>
        <w:rPr>
          <w:rFonts w:hint="eastAsia" w:eastAsia="仿宋_GB2312"/>
          <w:color w:val="000000"/>
          <w:sz w:val="32"/>
          <w:szCs w:val="32"/>
          <w:lang w:val="en-US" w:eastAsia="zh-CN"/>
        </w:rPr>
        <w:t>其中农用地1.9001公顷（28.5015亩）；</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w:t>
      </w:r>
      <w:r>
        <w:rPr>
          <w:rFonts w:hint="eastAsia" w:eastAsia="仿宋_GB2312"/>
          <w:color w:val="000000"/>
          <w:sz w:val="32"/>
          <w:szCs w:val="32"/>
          <w:lang w:val="en-US" w:eastAsia="zh-CN"/>
        </w:rPr>
        <w:t>未利用地0.0724公顷（1.086亩）。</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94.5</w:t>
      </w:r>
      <w:r>
        <w:rPr>
          <w:rFonts w:eastAsia="仿宋_GB2312"/>
          <w:color w:val="000000"/>
          <w:sz w:val="32"/>
          <w:szCs w:val="32"/>
        </w:rPr>
        <w:t>万元/公顷，安置补助标准为</w:t>
      </w:r>
      <w:r>
        <w:rPr>
          <w:rFonts w:hint="eastAsia" w:eastAsia="仿宋_GB2312"/>
          <w:color w:val="000000"/>
          <w:sz w:val="32"/>
          <w:szCs w:val="32"/>
          <w:lang w:val="en-US" w:eastAsia="zh-CN"/>
        </w:rPr>
        <w:t>94.5</w:t>
      </w:r>
      <w:r>
        <w:rPr>
          <w:rFonts w:hint="default" w:ascii="Times New Roman" w:hAnsi="Times New Roman"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该项目用地不涉及农村村民住宅补偿</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napToGrid/>
        <w:spacing w:line="240" w:lineRule="auto"/>
        <w:ind w:firstLine="632" w:firstLineChars="200"/>
        <w:rPr>
          <w:rFonts w:hint="default" w:ascii="Times New Roman" w:hAnsi="Times New Roman" w:eastAsia="仿宋_GB2312"/>
          <w:color w:val="000000"/>
          <w:sz w:val="32"/>
          <w:szCs w:val="32"/>
        </w:rPr>
      </w:pPr>
      <w:r>
        <w:rPr>
          <w:rFonts w:hint="default" w:ascii="Times New Roman" w:hAnsi="Times New Roman" w:eastAsia="仿宋_GB2312"/>
          <w:sz w:val="32"/>
          <w:szCs w:val="32"/>
        </w:rPr>
        <w:t>其他地上附着物和青苗补偿按《广州市从化区人民政府关于印发广州市从化区农民集体所有土地征收补偿实施办法的通知》（从府规〔2024〕2号）的规定执行。</w:t>
      </w:r>
      <w:bookmarkStart w:id="4" w:name="_Hlk132708139"/>
      <w:bookmarkEnd w:id="4"/>
      <w:bookmarkStart w:id="5" w:name="_Hlk132708274"/>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default" w:ascii="Times New Roman" w:hAnsi="Times New Roman" w:eastAsia="黑体"/>
          <w:color w:val="000000"/>
          <w:sz w:val="32"/>
          <w:szCs w:val="32"/>
          <w:lang w:val="en-US" w:eastAsia="zh-CN"/>
        </w:rPr>
        <w:t>五</w:t>
      </w:r>
      <w:r>
        <w:rPr>
          <w:rFonts w:ascii="Times New Roman" w:hAnsi="Times New Roman" w:eastAsia="黑体"/>
          <w:color w:val="000000"/>
          <w:sz w:val="32"/>
          <w:szCs w:val="32"/>
        </w:rPr>
        <w:t>、安置方式和社会保障</w:t>
      </w: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bookmarkStart w:id="6" w:name="_Hlk132708182"/>
      <w:r>
        <w:rPr>
          <w:rFonts w:hint="default" w:ascii="Times New Roman" w:hAnsi="Times New Roman" w:eastAsia="仿宋_GB2312"/>
          <w:color w:val="000000"/>
          <w:sz w:val="32"/>
          <w:szCs w:val="32"/>
        </w:rPr>
        <w:t>（一）货币安置。</w:t>
      </w:r>
      <w:r>
        <w:rPr>
          <w:rFonts w:hint="default" w:ascii="Times New Roman" w:hAnsi="Times New Roman" w:eastAsia="仿宋_GB2312"/>
          <w:color w:val="000000"/>
          <w:sz w:val="32"/>
          <w:szCs w:val="32"/>
          <w:lang w:val="en-US" w:eastAsia="zh-CN"/>
        </w:rPr>
        <w:t>有关</w:t>
      </w:r>
      <w:r>
        <w:rPr>
          <w:rFonts w:hint="default" w:ascii="Times New Roman" w:hAnsi="Times New Roman" w:eastAsia="仿宋_GB2312"/>
          <w:color w:val="000000"/>
          <w:sz w:val="32"/>
          <w:szCs w:val="32"/>
        </w:rPr>
        <w:t>费用已包含在土地补偿</w:t>
      </w:r>
      <w:r>
        <w:rPr>
          <w:rFonts w:hint="default" w:ascii="Times New Roman" w:hAnsi="Times New Roman" w:eastAsia="仿宋_GB2312"/>
          <w:color w:val="000000"/>
          <w:sz w:val="32"/>
          <w:szCs w:val="32"/>
          <w:lang w:val="en-US" w:eastAsia="zh-CN"/>
        </w:rPr>
        <w:t>费与</w:t>
      </w:r>
      <w:r>
        <w:rPr>
          <w:rFonts w:hint="default" w:ascii="Times New Roman" w:hAnsi="Times New Roman" w:eastAsia="仿宋_GB2312"/>
          <w:color w:val="000000"/>
          <w:sz w:val="32"/>
          <w:szCs w:val="32"/>
        </w:rPr>
        <w:t>安置</w:t>
      </w:r>
      <w:r>
        <w:rPr>
          <w:rFonts w:hint="default" w:ascii="Times New Roman" w:hAnsi="Times New Roman" w:eastAsia="仿宋_GB2312"/>
          <w:color w:val="000000"/>
          <w:sz w:val="32"/>
          <w:szCs w:val="32"/>
          <w:lang w:val="en-US" w:eastAsia="zh-CN"/>
        </w:rPr>
        <w:t>补助</w:t>
      </w:r>
      <w:r>
        <w:rPr>
          <w:rFonts w:hint="default" w:ascii="Times New Roman" w:hAnsi="Times New Roman" w:eastAsia="仿宋_GB2312"/>
          <w:color w:val="000000"/>
          <w:sz w:val="32"/>
          <w:szCs w:val="32"/>
        </w:rPr>
        <w:t>费中。</w:t>
      </w:r>
    </w:p>
    <w:p>
      <w:pPr>
        <w:keepNext w:val="0"/>
        <w:keepLines w:val="0"/>
        <w:pageBreakBefore w:val="0"/>
        <w:widowControl w:val="0"/>
        <w:snapToGrid/>
        <w:spacing w:line="240" w:lineRule="auto"/>
        <w:ind w:firstLine="632" w:firstLineChars="200"/>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（二）留用地安置。根据《广东省人民政府办公厅关于加强征收农村集体土地留用地安置管理工作的意见》（粤府办〔2016〕30号）等相关规定，按实际征收土地面积的10%</w:t>
      </w:r>
      <w:r>
        <w:rPr>
          <w:rFonts w:hint="default" w:ascii="Times New Roman" w:hAnsi="Times New Roman" w:eastAsia="仿宋_GB2312"/>
          <w:color w:val="000000"/>
          <w:sz w:val="32"/>
          <w:szCs w:val="32"/>
          <w:lang w:val="en-US" w:eastAsia="zh-CN"/>
        </w:rPr>
        <w:t>安排留用地，该项目留用地按照62万元/亩，折算货币补偿。</w:t>
      </w:r>
    </w:p>
    <w:p>
      <w:pPr>
        <w:keepNext w:val="0"/>
        <w:keepLines w:val="0"/>
        <w:pageBreakBefore w:val="0"/>
        <w:widowControl w:val="0"/>
        <w:snapToGrid/>
        <w:spacing w:line="240" w:lineRule="auto"/>
        <w:ind w:firstLine="632" w:firstLineChars="200"/>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（三）社会保障。</w:t>
      </w:r>
      <w:r>
        <w:rPr>
          <w:rFonts w:hint="default" w:ascii="Times New Roman" w:hAnsi="Times New Roman" w:eastAsia="仿宋_GB2312"/>
          <w:color w:val="000000"/>
          <w:sz w:val="32"/>
          <w:szCs w:val="32"/>
          <w:lang w:eastAsia="zh-CN"/>
        </w:rPr>
        <w:t>该项目征收</w:t>
      </w: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从化区</w:t>
      </w:r>
      <w:r>
        <w:rPr>
          <w:rFonts w:hint="eastAsia" w:ascii="Times New Roman" w:hAnsi="Times New Roman" w:eastAsia="仿宋_GB2312"/>
          <w:color w:val="000000"/>
          <w:sz w:val="32"/>
          <w:szCs w:val="32"/>
          <w:lang w:val="en-US" w:eastAsia="zh-CN"/>
        </w:rPr>
        <w:t>城郊街红旗村太和股份合作经济社、白水塘股份合作经济社、大围股份合作经济社、宏记股份合作经济社、塘下村第三股份合作经济社、第四股份合作经济社、第五股份合作经济社、第六股份合作经济社、第七股份合作经济社、第八股份合作经济社、第十五股份合作经济社</w:t>
      </w:r>
      <w:bookmarkStart w:id="7" w:name="OLE_LINK5"/>
      <w:bookmarkEnd w:id="7"/>
      <w:bookmarkStart w:id="8" w:name="OLE_LINK4"/>
      <w:bookmarkEnd w:id="8"/>
      <w:r>
        <w:rPr>
          <w:rFonts w:eastAsia="仿宋_GB2312"/>
          <w:color w:val="000000"/>
          <w:sz w:val="32"/>
          <w:szCs w:val="32"/>
        </w:rPr>
        <w:t>集体所有土地</w:t>
      </w:r>
      <w:r>
        <w:rPr>
          <w:rFonts w:hint="eastAsia" w:eastAsia="仿宋_GB2312"/>
          <w:color w:val="000000"/>
          <w:sz w:val="32"/>
          <w:szCs w:val="32"/>
          <w:lang w:eastAsia="zh-CN"/>
        </w:rPr>
        <w:t>面积共</w:t>
      </w:r>
      <w:r>
        <w:rPr>
          <w:rFonts w:hint="eastAsia" w:eastAsia="仿宋_GB2312"/>
          <w:color w:val="000000"/>
          <w:sz w:val="32"/>
          <w:szCs w:val="32"/>
          <w:lang w:val="en-US" w:eastAsia="zh-CN"/>
        </w:rPr>
        <w:t>232.3365</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eastAsia="zh-CN"/>
        </w:rPr>
        <w:t>，</w:t>
      </w:r>
      <w:r>
        <w:rPr>
          <w:rFonts w:hint="default" w:ascii="Times New Roman" w:hAnsi="Times New Roman" w:eastAsia="仿宋_GB2312"/>
          <w:color w:val="000000"/>
          <w:sz w:val="32"/>
          <w:szCs w:val="32"/>
        </w:rPr>
        <w:t>根据</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广东省人民政府办公厅转发省人力资源社会保障厅关于进一步完善我省被征地农民养老保障政策意见的通知</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粤府办</w:t>
      </w:r>
      <w:r>
        <w:rPr>
          <w:rFonts w:ascii="Times New Roman" w:hAnsi="Times New Roman" w:eastAsia="仿宋_GB2312"/>
          <w:color w:val="000000"/>
          <w:sz w:val="32"/>
          <w:szCs w:val="32"/>
        </w:rPr>
        <w:t>〔2021〕22号）</w:t>
      </w:r>
      <w:r>
        <w:rPr>
          <w:rFonts w:hint="eastAsia" w:ascii="Times New Roman" w:hAnsi="Times New Roman" w:eastAsia="仿宋_GB2312"/>
          <w:color w:val="000000"/>
          <w:sz w:val="32"/>
          <w:szCs w:val="32"/>
        </w:rPr>
        <w:t>规定，核定该项目按我区平均每亩征收农用地区片综合地价9</w:t>
      </w:r>
      <w:r>
        <w:rPr>
          <w:rFonts w:ascii="Times New Roman" w:hAnsi="Times New Roman" w:eastAsia="仿宋_GB2312"/>
          <w:color w:val="000000"/>
          <w:sz w:val="32"/>
          <w:szCs w:val="32"/>
        </w:rPr>
        <w:t>.74</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rPr>
        <w:t>的1</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比例</w:t>
      </w:r>
      <w:r>
        <w:rPr>
          <w:rFonts w:hint="eastAsia" w:ascii="Times New Roman" w:hAnsi="Times New Roman" w:eastAsia="仿宋_GB2312"/>
          <w:color w:val="000000"/>
          <w:sz w:val="32"/>
          <w:szCs w:val="32"/>
          <w:lang w:eastAsia="zh-CN"/>
        </w:rPr>
        <w:t>标准</w:t>
      </w:r>
      <w:r>
        <w:rPr>
          <w:rFonts w:hint="eastAsia" w:ascii="Times New Roman" w:hAnsi="Times New Roman" w:eastAsia="仿宋_GB2312"/>
          <w:color w:val="000000"/>
          <w:sz w:val="32"/>
          <w:szCs w:val="32"/>
        </w:rPr>
        <w:t>一次性计提</w:t>
      </w:r>
      <w:r>
        <w:rPr>
          <w:rFonts w:hint="eastAsia" w:ascii="Times New Roman" w:hAnsi="Times New Roman" w:eastAsia="仿宋_GB2312"/>
          <w:color w:val="000000"/>
          <w:sz w:val="32"/>
          <w:szCs w:val="32"/>
          <w:lang w:eastAsia="zh-CN"/>
        </w:rPr>
        <w:t>征地社保费共</w:t>
      </w:r>
      <w:r>
        <w:rPr>
          <w:rFonts w:hint="eastAsia" w:ascii="Times New Roman" w:hAnsi="Times New Roman" w:eastAsia="仿宋_GB2312"/>
          <w:color w:val="000000"/>
          <w:sz w:val="32"/>
          <w:szCs w:val="32"/>
          <w:lang w:val="en-US" w:eastAsia="zh-CN"/>
        </w:rPr>
        <w:t>408.95</w:t>
      </w:r>
      <w:r>
        <w:rPr>
          <w:rFonts w:hint="eastAsia" w:ascii="Times New Roman" w:hAnsi="Times New Roman" w:eastAsia="仿宋_GB2312"/>
          <w:color w:val="000000"/>
          <w:sz w:val="32"/>
          <w:szCs w:val="32"/>
          <w:lang w:eastAsia="zh-CN"/>
        </w:rPr>
        <w:t>万元，预</w:t>
      </w:r>
      <w:r>
        <w:rPr>
          <w:rFonts w:hint="eastAsia" w:ascii="Times New Roman" w:hAnsi="Times New Roman" w:eastAsia="仿宋_GB2312"/>
          <w:color w:val="000000"/>
          <w:sz w:val="32"/>
          <w:szCs w:val="32"/>
        </w:rPr>
        <w:t>存入</w:t>
      </w:r>
      <w:r>
        <w:rPr>
          <w:rFonts w:hint="eastAsia" w:ascii="Times New Roman" w:hAnsi="Times New Roman" w:eastAsia="仿宋_GB2312"/>
          <w:color w:val="000000"/>
          <w:sz w:val="32"/>
          <w:szCs w:val="32"/>
          <w:lang w:eastAsia="zh-CN"/>
        </w:rPr>
        <w:t>区</w:t>
      </w:r>
      <w:r>
        <w:rPr>
          <w:rFonts w:hint="eastAsia" w:ascii="Times New Roman" w:hAnsi="Times New Roman" w:eastAsia="仿宋_GB2312"/>
          <w:color w:val="000000"/>
          <w:sz w:val="32"/>
          <w:szCs w:val="32"/>
        </w:rPr>
        <w:t>“收缴被征地农民养老保障资金过渡户”，</w:t>
      </w:r>
      <w:bookmarkEnd w:id="5"/>
      <w:bookmarkEnd w:id="6"/>
      <w:r>
        <w:rPr>
          <w:rFonts w:hint="default" w:ascii="Times New Roman" w:hAnsi="Times New Roman" w:eastAsia="仿宋_GB2312"/>
          <w:color w:val="000000"/>
          <w:sz w:val="32"/>
          <w:szCs w:val="32"/>
        </w:rPr>
        <w:t>专款用于被征地农民养老</w:t>
      </w:r>
      <w:r>
        <w:rPr>
          <w:rFonts w:hint="default" w:ascii="Times New Roman" w:hAnsi="Times New Roman" w:eastAsia="仿宋_GB2312"/>
          <w:color w:val="000000"/>
          <w:sz w:val="32"/>
          <w:szCs w:val="32"/>
          <w:lang w:eastAsia="zh-CN"/>
        </w:rPr>
        <w:t>保障（详见附件</w:t>
      </w:r>
      <w:r>
        <w:rPr>
          <w:rFonts w:hint="default" w:ascii="Times New Roman" w:hAnsi="Times New Roman" w:eastAsia="仿宋_GB2312"/>
          <w:color w:val="000000"/>
          <w:sz w:val="32"/>
          <w:szCs w:val="32"/>
          <w:lang w:val="en-US" w:eastAsia="zh-CN"/>
        </w:rPr>
        <w:t>2</w:t>
      </w:r>
      <w:r>
        <w:rPr>
          <w:rFonts w:hint="default" w:ascii="Times New Roman" w:hAnsi="Times New Roman" w:eastAsia="仿宋_GB2312"/>
          <w:color w:val="000000"/>
          <w:sz w:val="32"/>
          <w:szCs w:val="32"/>
          <w:lang w:eastAsia="zh-CN"/>
        </w:rPr>
        <w:t>）</w:t>
      </w:r>
      <w:r>
        <w:rPr>
          <w:rFonts w:hint="default" w:ascii="Times New Roman" w:hAnsi="Times New Roman" w:eastAsia="仿宋_GB2312"/>
          <w:color w:val="000000"/>
          <w:sz w:val="32"/>
          <w:szCs w:val="32"/>
        </w:rPr>
        <w:t>。</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default" w:ascii="Times New Roman" w:hAnsi="Times New Roman" w:eastAsia="黑体"/>
          <w:color w:val="000000"/>
          <w:sz w:val="32"/>
          <w:szCs w:val="32"/>
          <w:lang w:val="en-US" w:eastAsia="zh-CN"/>
        </w:rPr>
        <w:t>六</w:t>
      </w:r>
      <w:r>
        <w:rPr>
          <w:rFonts w:ascii="Times New Roman" w:hAnsi="Times New Roman" w:eastAsia="黑体"/>
          <w:color w:val="000000"/>
          <w:sz w:val="32"/>
          <w:szCs w:val="32"/>
        </w:rPr>
        <w:t>、</w:t>
      </w:r>
      <w:r>
        <w:rPr>
          <w:rFonts w:hint="default" w:ascii="Times New Roman" w:hAnsi="Times New Roman"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5</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日至202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日（不少于30日）</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5</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日至202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城郊街道办事处</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黄建明</w:t>
      </w:r>
      <w:r>
        <w:rPr>
          <w:rFonts w:hint="eastAsia" w:ascii="Times New Roman" w:hAnsi="Times New Roman" w:eastAsia="仿宋_GB2312"/>
          <w:color w:val="000000"/>
          <w:sz w:val="32"/>
          <w:szCs w:val="32"/>
        </w:rPr>
        <w:t>；电话：</w:t>
      </w:r>
      <w:r>
        <w:rPr>
          <w:rFonts w:hint="eastAsia" w:ascii="Times New Roman" w:hAnsi="Times New Roman" w:eastAsia="仿宋_GB2312"/>
          <w:color w:val="000000"/>
          <w:sz w:val="32"/>
          <w:szCs w:val="32"/>
          <w:lang w:val="en-US" w:eastAsia="zh-CN"/>
        </w:rPr>
        <w:t>020-37923660</w:t>
      </w:r>
      <w:r>
        <w:rPr>
          <w:rFonts w:hint="eastAsia" w:ascii="Times New Roman" w:hAnsi="Times New Roman" w:eastAsia="仿宋_GB2312"/>
          <w:color w:val="000000"/>
          <w:sz w:val="32"/>
          <w:szCs w:val="32"/>
        </w:rPr>
        <w:t>）办理征地补偿登记手续，请相互转告。未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5</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日至202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23</w:t>
      </w:r>
      <w:r>
        <w:rPr>
          <w:rFonts w:hint="eastAsia" w:ascii="Times New Roman" w:hAnsi="Times New Roman" w:eastAsia="仿宋_GB2312"/>
          <w:color w:val="000000"/>
          <w:sz w:val="32"/>
          <w:szCs w:val="32"/>
        </w:rPr>
        <w:t>日内持土地权属证明材料等向我区征地实施部门提交书面意见。异议提交地址为：广州市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城郊街道办事处</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黄建明</w:t>
      </w:r>
      <w:r>
        <w:rPr>
          <w:rFonts w:hint="eastAsia" w:ascii="Times New Roman" w:hAnsi="Times New Roman" w:eastAsia="仿宋_GB2312"/>
          <w:color w:val="000000"/>
          <w:sz w:val="32"/>
          <w:szCs w:val="32"/>
        </w:rPr>
        <w:t>；电话：</w:t>
      </w:r>
      <w:r>
        <w:rPr>
          <w:rFonts w:hint="eastAsia" w:ascii="Times New Roman" w:hAnsi="Times New Roman" w:eastAsia="仿宋_GB2312"/>
          <w:color w:val="000000"/>
          <w:sz w:val="32"/>
          <w:szCs w:val="32"/>
          <w:lang w:val="en-US" w:eastAsia="zh-CN"/>
        </w:rPr>
        <w:t>020-37923660</w:t>
      </w:r>
      <w:r>
        <w:rPr>
          <w:rFonts w:hint="eastAsia" w:ascii="Times New Roman" w:hAnsi="Times New Roman" w:eastAsia="仿宋_GB2312"/>
          <w:color w:val="000000"/>
          <w:sz w:val="32"/>
          <w:szCs w:val="32"/>
        </w:rPr>
        <w:t>；邮编：510900）。在规定时间内未提交书面意见的，视为无异议。我区将在收取意见后，对符合《土地管理法》《土地管理法实施条例》《广东省土地管理条例》规定条件的，依法依规组织听证。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3</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2</w:t>
      </w:r>
      <w:r>
        <w:rPr>
          <w:rFonts w:hint="eastAsia" w:ascii="Times New Roman" w:hAnsi="Times New Roman" w:eastAsia="仿宋_GB2312"/>
          <w:color w:val="000000"/>
          <w:sz w:val="32"/>
          <w:szCs w:val="32"/>
        </w:rPr>
        <w:t>日《征收土地预公告》（穗从府征</w:t>
      </w:r>
      <w:r>
        <w:rPr>
          <w:rFonts w:hint="eastAsia" w:ascii="Times New Roman" w:hAnsi="Times New Roman" w:eastAsia="仿宋_GB2312"/>
          <w:color w:val="000000"/>
          <w:sz w:val="32"/>
          <w:szCs w:val="32"/>
          <w:lang w:val="en-US" w:eastAsia="zh-CN"/>
        </w:rPr>
        <w:t>预告</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1896" w:leftChars="500" w:hanging="316" w:hangingChars="1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关于广州市从化区2025年度第三十七批次城镇建</w:t>
      </w:r>
      <w:r>
        <w:rPr>
          <w:rFonts w:hint="eastAsia"/>
          <w:color w:val="000000"/>
          <w:sz w:val="32"/>
          <w:szCs w:val="32"/>
          <w:lang w:val="en-US" w:eastAsia="zh-CN"/>
        </w:rPr>
        <w:t xml:space="preserve"> </w:t>
      </w:r>
      <w:r>
        <w:rPr>
          <w:rFonts w:hint="eastAsia" w:ascii="Times New Roman" w:hAnsi="Times New Roman" w:eastAsia="仿宋_GB2312"/>
          <w:color w:val="000000"/>
          <w:sz w:val="32"/>
          <w:szCs w:val="32"/>
          <w:lang w:val="en-US" w:eastAsia="zh-CN"/>
        </w:rPr>
        <w:t>设用地项目</w:t>
      </w:r>
      <w:r>
        <w:rPr>
          <w:rFonts w:hint="eastAsia" w:ascii="Times New Roman" w:hAnsi="Times New Roman" w:eastAsia="仿宋_GB2312"/>
          <w:color w:val="000000"/>
          <w:sz w:val="32"/>
          <w:szCs w:val="32"/>
        </w:rPr>
        <w:t>被征地农民养老保障方案</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9" w:name="_Hlk132708289"/>
    </w:p>
    <w:bookmarkEnd w:id="0"/>
    <w:bookmarkEnd w:id="9"/>
    <w:p>
      <w:pPr>
        <w:spacing w:after="0" w:line="240" w:lineRule="auto"/>
        <w:ind w:left="0" w:leftChars="0" w:right="0" w:rightChars="0" w:firstLine="632" w:firstLineChars="200"/>
        <w:jc w:val="left"/>
        <w:rPr>
          <w:rFonts w:hint="default" w:ascii="Times New Roman" w:hAnsi="Times New Roman" w:eastAsia="仿宋_GB2312" w:cs="Times New Roman"/>
          <w:sz w:val="32"/>
          <w:szCs w:val="32"/>
        </w:rPr>
      </w:pPr>
    </w:p>
    <w:p>
      <w:pPr>
        <w:spacing w:after="0" w:line="240" w:lineRule="auto"/>
        <w:ind w:left="0" w:leftChars="0" w:right="0" w:rightChars="0" w:firstLine="632" w:firstLineChars="200"/>
        <w:jc w:val="left"/>
        <w:rPr>
          <w:rFonts w:hint="eastAsia" w:ascii="仿宋_GB2312" w:hAnsi="仿宋_GB2312" w:eastAsia="仿宋_GB2312" w:cs="仿宋_GB2312"/>
          <w:sz w:val="32"/>
          <w:szCs w:val="32"/>
        </w:rPr>
      </w:pPr>
    </w:p>
    <w:p>
      <w:pPr>
        <w:wordWrap w:val="0"/>
        <w:spacing w:after="0" w:line="240" w:lineRule="auto"/>
        <w:ind w:left="0" w:leftChars="0" w:right="0" w:rightChars="0" w:firstLine="4740" w:firstLineChars="1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广州市</w:t>
      </w:r>
      <w:r>
        <w:rPr>
          <w:rFonts w:hint="default" w:ascii="Times New Roman" w:hAnsi="Times New Roman" w:eastAsia="仿宋_GB2312" w:cs="Times New Roman"/>
          <w:color w:val="auto"/>
          <w:sz w:val="32"/>
          <w:szCs w:val="32"/>
          <w:lang w:val="en-US" w:eastAsia="zh-CN"/>
        </w:rPr>
        <w:t>从化区</w:t>
      </w:r>
      <w:r>
        <w:rPr>
          <w:rFonts w:hint="default" w:ascii="Times New Roman" w:hAnsi="Times New Roman" w:eastAsia="仿宋_GB2312" w:cs="Times New Roman"/>
          <w:color w:val="auto"/>
          <w:sz w:val="32"/>
          <w:szCs w:val="32"/>
        </w:rPr>
        <w:t>人民政府</w:t>
      </w:r>
      <w:r>
        <w:rPr>
          <w:rFonts w:hint="default" w:ascii="Times New Roman" w:hAnsi="Times New Roman" w:eastAsia="仿宋_GB2312" w:cs="Times New Roman"/>
          <w:sz w:val="32"/>
          <w:szCs w:val="32"/>
          <w:lang w:val="en-US" w:eastAsia="zh-CN"/>
        </w:rPr>
        <w:t xml:space="preserve">   </w:t>
      </w:r>
    </w:p>
    <w:p>
      <w:pPr>
        <w:keepNext w:val="0"/>
        <w:keepLines w:val="0"/>
        <w:pageBreakBefore w:val="0"/>
        <w:wordWrap w:val="0"/>
        <w:spacing w:after="0" w:line="240" w:lineRule="auto"/>
        <w:ind w:left="0" w:leftChars="0" w:right="0" w:rightChars="0" w:firstLine="632" w:firstLineChars="200"/>
        <w:jc w:val="center"/>
        <w:rPr>
          <w:rFonts w:hint="default" w:ascii="Times New Roman" w:hAnsi="Times New Roman" w:eastAsia="仿宋_GB2312" w:cs="Times New Roman"/>
          <w:color w:val="auto"/>
          <w:sz w:val="32"/>
          <w:szCs w:val="32"/>
        </w:rPr>
      </w:pPr>
      <w:r>
        <w:rPr>
          <w:rFonts w:hint="eastAsia" w:ascii="Times New Roman" w:hAnsi="Times New Roman"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ascii="Times New Roman" w:hAnsi="Times New Roman"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22</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sz w:val="32"/>
          <w:szCs w:val="32"/>
          <w:lang w:val="en-US" w:eastAsia="zh-CN"/>
        </w:rPr>
        <w:t xml:space="preserve">    </w:t>
      </w:r>
    </w:p>
    <w:p/>
    <w:p>
      <w:pPr>
        <w:ind w:firstLine="316" w:firstLineChars="100"/>
        <w:rPr>
          <w:rFonts w:hint="eastAsia"/>
        </w:rPr>
      </w:pPr>
    </w:p>
    <w:sectPr>
      <w:footerReference r:id="rId6" w:type="default"/>
      <w:pgSz w:w="11906" w:h="16838"/>
      <w:pgMar w:top="1984" w:right="1531" w:bottom="1984" w:left="1531" w:header="0" w:footer="1417" w:gutter="0"/>
      <w:pgNumType w:fmt="decimal"/>
      <w:cols w:space="0" w:num="1"/>
      <w:docGrid w:type="linesAndChars" w:linePitch="585"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left" w:pos="2337"/>
        <w:tab w:val="left" w:pos="7917"/>
        <w:tab w:val="clear" w:pos="4153"/>
        <w:tab w:val="clear" w:pos="8306"/>
      </w:tabs>
      <w:rPr>
        <w:rStyle w:val="37"/>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-137795</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a:noFill/>
                      </a:ln>
                    </wps:spPr>
                    <wps:txbx>
                      <w:txbxContent>
                        <w:p>
                          <w:pPr>
                            <w:rPr>
                              <w:rFonts w:hint="eastAsia"/>
                              <w:lang w:eastAsia="zh-CN"/>
                            </w:rPr>
                          </w:pPr>
                        </w:p>
                      </w:txbxContent>
                    </wps:txbx>
                    <wps:bodyPr wrap="none" lIns="0" tIns="0" rIns="0" bIns="0" upright="0">
                      <a:spAutoFit/>
                    </wps:bodyPr>
                  </wps:wsp>
                </a:graphicData>
              </a:graphic>
            </wp:anchor>
          </w:drawing>
        </mc:Choice>
        <mc:Fallback>
          <w:pict>
            <v:rect id="文本框 6" o:spid="_x0000_s1026" o:spt="1" style="position:absolute;left:0pt;margin-top:-10.85pt;height:144pt;width:144pt;mso-position-horizontal:outside;mso-position-horizontal-relative:margin;mso-wrap-style:none;z-index:251659264;mso-width-relative:page;mso-height-relative:page;" filled="f" stroked="f" coordsize="21600,21600" o:gfxdata="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Gb5K9UAAAAIAQAADwAAAAAAAAABACAAAAAiAAAAZHJz&#10;L2Rvd25yZXYueG1sUEsBAhQAFAAAAAgAh07iQHCXVcLOAQAAnQMAAA4AAAAAAAAAAQAgAAAAJAEA&#10;AGRycy9lMm9Eb2MueG1sUEsFBgAAAAAGAAYAWQEAAGQ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r>
      <w:rPr>
        <w:rStyle w:val="37"/>
        <w:rFonts w:hint="eastAsia"/>
        <w:sz w:val="28"/>
        <w:lang w:eastAsia="zh-CN"/>
      </w:rPr>
      <w:tab/>
    </w:r>
    <w:r>
      <w:rPr>
        <w:rStyle w:val="37"/>
        <w:rFonts w:hint="eastAsia"/>
        <w:sz w:val="28"/>
        <w:lang w:eastAsia="zh-CN"/>
      </w:rPr>
      <w:tab/>
    </w:r>
  </w:p>
  <w:p>
    <w:pPr>
      <w:pStyle w:val="20"/>
      <w:tabs>
        <w:tab w:val="left" w:pos="2772"/>
        <w:tab w:val="clear" w:pos="4153"/>
      </w:tabs>
      <w:ind w:right="360" w:firstLine="360"/>
      <w:rPr>
        <w:rFonts w:hint="eastAsia" w:eastAsia="仿宋_GB2312"/>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left" w:pos="2337"/>
        <w:tab w:val="left" w:pos="7917"/>
        <w:tab w:val="clear" w:pos="4153"/>
        <w:tab w:val="clear" w:pos="8306"/>
      </w:tabs>
      <w:rPr>
        <w:rStyle w:val="37"/>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ct/0tQAAAAFAQAADwAAAAAAAAABACAAAAAiAAAAZHJzL2Rvd25yZXYu&#10;eG1sUEsBAhQAFAAAAAgAh07iQJpHJDU4AgAAZQQAAA4AAAAAAAAAAQAgAAAAIwEAAGRycy9lMm9E&#10;b2MueG1sUEsFBgAAAAAGAAYAWQEAAM0FAAAAAA==&#10;">
              <v:fill on="f" focussize="0,0"/>
              <v:stroke on="f" weight="0.5pt"/>
              <v:imagedata o:title=""/>
              <o:lock v:ext="edit" aspectratio="f"/>
              <v:textbox inset="0mm,0mm,0mm,0mm" style="mso-fit-shape-to-text:t;">
                <w:txbxContent>
                  <w:p>
                    <w:pPr>
                      <w:pStyle w:val="20"/>
                      <w:rPr>
                        <w:rFonts w:hint="eastAsia"/>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-137795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a:noFill/>
                      </a:ln>
                    </wps:spPr>
                    <wps:txbx>
                      <w:txbxContent>
                        <w:p>
                          <w:pPr>
                            <w:rPr>
                              <w:rFonts w:hint="eastAsia"/>
                              <w:lang w:eastAsia="zh-CN"/>
                            </w:rPr>
                          </w:pPr>
                        </w:p>
                      </w:txbxContent>
                    </wps:txbx>
                    <wps:bodyPr wrap="none" lIns="0" tIns="0" rIns="0" bIns="0" upright="0">
                      <a:spAutoFit/>
                    </wps:bodyPr>
                  </wps:wsp>
                </a:graphicData>
              </a:graphic>
            </wp:anchor>
          </w:drawing>
        </mc:Choice>
        <mc:Fallback>
          <w:pict>
            <v:rect id="文本框 6" o:spid="_x0000_s1026" o:spt="1" style="position:absolute;left:0pt;margin-top:-10.85pt;height:144pt;width:144pt;mso-position-horizontal:outside;mso-position-horizontal-relative:margin;mso-wrap-style:none;z-index:251660288;mso-width-relative:page;mso-height-relative:page;" filled="f" stroked="f" coordsize="21600,21600" o:gfxdata="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Rm+SvVAAAACAEAAA8AAAAAAAAAAQAgAAAAIgAAAGRycy9k&#10;b3ducmV2LnhtbFBLAQIUABQAAAAIAIdO4kCQMWLazAEAAJ0DAAAOAAAAAAAAAAEAIAAAACQBAABk&#10;cnMvZTJvRG9jLnhtbFBLBQYAAAAABgAGAFkBAABiBQ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r>
      <w:rPr>
        <w:rStyle w:val="37"/>
        <w:rFonts w:hint="eastAsia"/>
        <w:sz w:val="28"/>
        <w:lang w:eastAsia="zh-CN"/>
      </w:rPr>
      <w:tab/>
    </w:r>
    <w:r>
      <w:rPr>
        <w:rStyle w:val="37"/>
        <w:rFonts w:hint="eastAsia"/>
        <w:sz w:val="28"/>
        <w:lang w:eastAsia="zh-CN"/>
      </w:rPr>
      <w:tab/>
    </w:r>
  </w:p>
  <w:p>
    <w:pPr>
      <w:pStyle w:val="20"/>
      <w:tabs>
        <w:tab w:val="left" w:pos="2772"/>
        <w:tab w:val="clear" w:pos="4153"/>
      </w:tabs>
      <w:ind w:right="360" w:firstLine="360"/>
      <w:rPr>
        <w:rFonts w:hint="eastAsia" w:eastAsia="仿宋_GB2312"/>
        <w:lang w:eastAsia="zh-CN"/>
      </w:rPr>
    </w:pP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visionView w:markup="0"/>
  <w:trackRevisions w:val="1"/>
  <w:documentProtection w:enforcement="0"/>
  <w:defaultTabStop w:val="420"/>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13E05"/>
    <w:rsid w:val="0D7A7D42"/>
    <w:rsid w:val="1B253069"/>
    <w:rsid w:val="31645C0E"/>
    <w:rsid w:val="4829434B"/>
    <w:rsid w:val="5B7E4EE3"/>
    <w:rsid w:val="5EF02B25"/>
    <w:rsid w:val="634D3C43"/>
    <w:rsid w:val="76F55F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3">
    <w:name w:val="heading 1"/>
    <w:basedOn w:val="1"/>
    <w:next w:val="1"/>
    <w:qFormat/>
    <w:uiPriority w:val="0"/>
    <w:pPr>
      <w:keepNext/>
      <w:jc w:val="center"/>
      <w:outlineLvl w:val="0"/>
    </w:pPr>
    <w:rPr>
      <w:sz w:val="32"/>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paragraph" w:styleId="4">
    <w:name w:val="heading 3"/>
    <w:basedOn w:val="1"/>
    <w:next w:val="1"/>
    <w:link w:val="47"/>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48"/>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49"/>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50"/>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51"/>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52"/>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53"/>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5">
    <w:name w:val="Default Paragraph Font"/>
    <w:link w:val="36"/>
    <w:semiHidden/>
    <w:qFormat/>
    <w:uiPriority w:val="0"/>
  </w:style>
  <w:style w:type="table" w:default="1" w:styleId="33">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Body Text"/>
    <w:basedOn w:val="1"/>
    <w:qFormat/>
    <w:uiPriority w:val="0"/>
    <w:rPr>
      <w:rFonts w:ascii="仿宋_GB2312" w:eastAsia="仿宋_GB2312"/>
      <w:sz w:val="30"/>
    </w:rPr>
  </w:style>
  <w:style w:type="paragraph" w:styleId="14">
    <w:name w:val="Body Text Indent"/>
    <w:basedOn w:val="1"/>
    <w:qFormat/>
    <w:uiPriority w:val="0"/>
    <w:pPr>
      <w:spacing w:line="580" w:lineRule="exact"/>
      <w:ind w:left="1439" w:leftChars="228" w:hanging="960" w:hangingChars="300"/>
      <w:jc w:val="left"/>
    </w:pPr>
    <w:rPr>
      <w:rFonts w:ascii="仿宋_GB2312" w:eastAsia="仿宋_GB2312"/>
      <w:sz w:val="32"/>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qFormat/>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Date"/>
    <w:basedOn w:val="1"/>
    <w:next w:val="1"/>
    <w:qFormat/>
    <w:uiPriority w:val="0"/>
    <w:pPr>
      <w:ind w:left="100" w:leftChars="2500"/>
    </w:pPr>
    <w:rPr>
      <w:rFonts w:eastAsia="仿宋_GB2312"/>
      <w:w w:val="99"/>
      <w:sz w:val="32"/>
    </w:rPr>
  </w:style>
  <w:style w:type="paragraph" w:styleId="19">
    <w:name w:val="Body Text Indent 2"/>
    <w:basedOn w:val="1"/>
    <w:qFormat/>
    <w:uiPriority w:val="0"/>
    <w:pPr>
      <w:tabs>
        <w:tab w:val="left" w:pos="330"/>
      </w:tabs>
      <w:spacing w:line="580" w:lineRule="exact"/>
      <w:ind w:right="23" w:rightChars="11" w:firstLine="630"/>
      <w:jc w:val="left"/>
    </w:pPr>
    <w:rPr>
      <w:rFonts w:ascii="仿宋_GB2312" w:eastAsia="仿宋_GB2312"/>
      <w:sz w:val="32"/>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pPr>
      <w:overflowPunct w:val="0"/>
      <w:autoSpaceDE w:val="0"/>
      <w:autoSpaceDN w:val="0"/>
      <w:spacing w:after="57"/>
      <w:ind w:left="0" w:right="0" w:firstLine="0"/>
    </w:pPr>
  </w:style>
  <w:style w:type="paragraph" w:styleId="23">
    <w:name w:val="toc 4"/>
    <w:basedOn w:val="1"/>
    <w:next w:val="1"/>
    <w:unhideWhenUsed/>
    <w:qFormat/>
    <w:uiPriority w:val="39"/>
    <w:pPr>
      <w:overflowPunct w:val="0"/>
      <w:autoSpaceDE w:val="0"/>
      <w:autoSpaceDN w:val="0"/>
      <w:spacing w:after="57"/>
      <w:ind w:left="850" w:right="0" w:firstLine="0"/>
    </w:pPr>
  </w:style>
  <w:style w:type="paragraph" w:styleId="24">
    <w:name w:val="Subtitle"/>
    <w:basedOn w:val="1"/>
    <w:next w:val="1"/>
    <w:link w:val="57"/>
    <w:qFormat/>
    <w:uiPriority w:val="11"/>
    <w:pPr>
      <w:overflowPunct w:val="0"/>
      <w:autoSpaceDE w:val="0"/>
      <w:autoSpaceDN w:val="0"/>
      <w:spacing w:before="200" w:after="200"/>
    </w:pPr>
    <w:rPr>
      <w:sz w:val="24"/>
      <w:szCs w:val="24"/>
    </w:rPr>
  </w:style>
  <w:style w:type="paragraph" w:styleId="25">
    <w:name w:val="footnote text"/>
    <w:basedOn w:val="1"/>
    <w:link w:val="190"/>
    <w:semiHidden/>
    <w:unhideWhenUsed/>
    <w:qFormat/>
    <w:uiPriority w:val="99"/>
    <w:pPr>
      <w:overflowPunct w:val="0"/>
      <w:autoSpaceDE w:val="0"/>
      <w:autoSpaceDN w:val="0"/>
      <w:spacing w:after="40" w:line="240" w:lineRule="auto"/>
    </w:pPr>
    <w:rPr>
      <w:sz w:val="18"/>
    </w:rPr>
  </w:style>
  <w:style w:type="paragraph" w:styleId="26">
    <w:name w:val="toc 6"/>
    <w:basedOn w:val="1"/>
    <w:next w:val="1"/>
    <w:unhideWhenUsed/>
    <w:qFormat/>
    <w:uiPriority w:val="39"/>
    <w:pPr>
      <w:overflowPunct w:val="0"/>
      <w:autoSpaceDE w:val="0"/>
      <w:autoSpaceDN w:val="0"/>
      <w:spacing w:after="57"/>
      <w:ind w:left="1417" w:right="0" w:firstLine="0"/>
    </w:pPr>
  </w:style>
  <w:style w:type="paragraph" w:styleId="27">
    <w:name w:val="Body Text Indent 3"/>
    <w:basedOn w:val="1"/>
    <w:qFormat/>
    <w:uiPriority w:val="0"/>
    <w:pPr>
      <w:ind w:firstLine="640" w:firstLineChars="200"/>
    </w:pPr>
    <w:rPr>
      <w:sz w:val="32"/>
    </w:rPr>
  </w:style>
  <w:style w:type="paragraph" w:styleId="28">
    <w:name w:val="toc 2"/>
    <w:basedOn w:val="1"/>
    <w:next w:val="1"/>
    <w:unhideWhenUsed/>
    <w:qFormat/>
    <w:uiPriority w:val="39"/>
    <w:pPr>
      <w:overflowPunct w:val="0"/>
      <w:autoSpaceDE w:val="0"/>
      <w:autoSpaceDN w:val="0"/>
      <w:spacing w:after="57"/>
      <w:ind w:left="283" w:right="0" w:firstLine="0"/>
    </w:pPr>
  </w:style>
  <w:style w:type="paragraph" w:styleId="29">
    <w:name w:val="toc 9"/>
    <w:basedOn w:val="1"/>
    <w:next w:val="1"/>
    <w:unhideWhenUsed/>
    <w:qFormat/>
    <w:uiPriority w:val="39"/>
    <w:pPr>
      <w:overflowPunct w:val="0"/>
      <w:autoSpaceDE w:val="0"/>
      <w:autoSpaceDN w:val="0"/>
      <w:spacing w:after="57"/>
      <w:ind w:left="2268" w:right="0" w:firstLine="0"/>
    </w:pPr>
  </w:style>
  <w:style w:type="paragraph" w:styleId="30">
    <w:name w:val="Body Text 2"/>
    <w:basedOn w:val="1"/>
    <w:qFormat/>
    <w:uiPriority w:val="0"/>
    <w:pPr>
      <w:jc w:val="center"/>
    </w:pPr>
    <w:rPr>
      <w:rFonts w:ascii="方正小标宋简体" w:eastAsia="方正小标宋简体"/>
      <w:sz w:val="72"/>
    </w:rPr>
  </w:style>
  <w:style w:type="paragraph" w:styleId="31">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szCs w:val="20"/>
      <w:lang w:val="en-US" w:eastAsia="zh-CN" w:bidi="ar"/>
    </w:rPr>
  </w:style>
  <w:style w:type="paragraph" w:styleId="32">
    <w:name w:val="Title"/>
    <w:basedOn w:val="1"/>
    <w:next w:val="1"/>
    <w:link w:val="56"/>
    <w:qFormat/>
    <w:uiPriority w:val="10"/>
    <w:pPr>
      <w:overflowPunct w:val="0"/>
      <w:autoSpaceDE w:val="0"/>
      <w:autoSpaceDN w:val="0"/>
      <w:spacing w:before="300" w:after="200"/>
      <w:contextualSpacing/>
    </w:pPr>
    <w:rPr>
      <w:sz w:val="48"/>
      <w:szCs w:val="48"/>
    </w:rPr>
  </w:style>
  <w:style w:type="table" w:styleId="34">
    <w:name w:val="Table Grid"/>
    <w:basedOn w:val="33"/>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6">
    <w:name w:val=" Char Char Char Char Char Char1 Char"/>
    <w:basedOn w:val="1"/>
    <w:link w:val="35"/>
    <w:qFormat/>
    <w:uiPriority w:val="0"/>
    <w:pPr>
      <w:widowControl/>
      <w:spacing w:after="160" w:line="240" w:lineRule="exact"/>
      <w:jc w:val="left"/>
    </w:pPr>
    <w:rPr>
      <w:rFonts w:ascii="Verdana" w:hAnsi="Verdana" w:eastAsia="仿宋_GB2312"/>
      <w:kern w:val="0"/>
      <w:sz w:val="24"/>
      <w:szCs w:val="20"/>
      <w:lang w:eastAsia="en-US"/>
    </w:rPr>
  </w:style>
  <w:style w:type="character" w:styleId="37">
    <w:name w:val="page number"/>
    <w:basedOn w:val="35"/>
    <w:qFormat/>
    <w:uiPriority w:val="0"/>
  </w:style>
  <w:style w:type="character" w:styleId="38">
    <w:name w:val="Hyperlink"/>
    <w:unhideWhenUsed/>
    <w:qFormat/>
    <w:uiPriority w:val="99"/>
    <w:rPr>
      <w:color w:val="0000FF" w:themeColor="hyperlink"/>
      <w:u w:val="single"/>
      <w14:textFill>
        <w14:solidFill>
          <w14:schemeClr w14:val="hlink"/>
        </w14:solidFill>
      </w14:textFill>
    </w:rPr>
  </w:style>
  <w:style w:type="character" w:styleId="39">
    <w:name w:val="footnote reference"/>
    <w:basedOn w:val="35"/>
    <w:unhideWhenUsed/>
    <w:qFormat/>
    <w:uiPriority w:val="99"/>
    <w:rPr>
      <w:vertAlign w:val="superscript"/>
    </w:rPr>
  </w:style>
  <w:style w:type="paragraph" w:customStyle="1" w:styleId="40">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41">
    <w:name w:val="默认段落字体1"/>
    <w:semiHidden/>
    <w:qFormat/>
    <w:uiPriority w:val="0"/>
  </w:style>
  <w:style w:type="table" w:customStyle="1" w:styleId="42">
    <w:name w:val="普通表格1"/>
    <w:semiHidden/>
    <w:qFormat/>
    <w:uiPriority w:val="0"/>
  </w:style>
  <w:style w:type="paragraph" w:customStyle="1" w:styleId="43">
    <w:name w:val="页脚1"/>
    <w:basedOn w:val="1"/>
    <w:qFormat/>
    <w:uiPriority w:val="0"/>
    <w:pPr>
      <w:tabs>
        <w:tab w:val="center" w:pos="4153"/>
        <w:tab w:val="right" w:pos="8306"/>
      </w:tabs>
      <w:snapToGrid w:val="0"/>
      <w:jc w:val="left"/>
    </w:pPr>
    <w:rPr>
      <w:sz w:val="18"/>
      <w:szCs w:val="18"/>
    </w:rPr>
  </w:style>
  <w:style w:type="paragraph" w:customStyle="1" w:styleId="44">
    <w:name w:val="普通(网站)1"/>
    <w:basedOn w:val="1"/>
    <w:qFormat/>
    <w:uiPriority w:val="0"/>
    <w:pPr>
      <w:spacing w:before="100" w:beforeAutospacing="1" w:after="100" w:afterAutospacing="1"/>
      <w:ind w:left="0" w:right="0"/>
      <w:jc w:val="left"/>
    </w:pPr>
    <w:rPr>
      <w:kern w:val="0"/>
      <w:sz w:val="24"/>
      <w:lang w:val="en-US" w:eastAsia="zh-CN" w:bidi="en-US"/>
    </w:rPr>
  </w:style>
  <w:style w:type="character" w:customStyle="1" w:styleId="45">
    <w:name w:val="Heading 1 Char"/>
    <w:basedOn w:val="35"/>
    <w:qFormat/>
    <w:uiPriority w:val="9"/>
    <w:rPr>
      <w:rFonts w:ascii="Arial" w:hAnsi="Arial" w:eastAsia="Arial" w:cs="Arial"/>
      <w:sz w:val="40"/>
      <w:szCs w:val="40"/>
    </w:rPr>
  </w:style>
  <w:style w:type="character" w:customStyle="1" w:styleId="46">
    <w:name w:val="Heading 2 Char"/>
    <w:basedOn w:val="35"/>
    <w:qFormat/>
    <w:uiPriority w:val="9"/>
    <w:rPr>
      <w:rFonts w:ascii="Arial" w:hAnsi="Arial" w:eastAsia="Arial" w:cs="Arial"/>
      <w:sz w:val="34"/>
    </w:rPr>
  </w:style>
  <w:style w:type="character" w:customStyle="1" w:styleId="47">
    <w:name w:val="Heading 3 Char"/>
    <w:basedOn w:val="35"/>
    <w:link w:val="4"/>
    <w:qFormat/>
    <w:uiPriority w:val="9"/>
    <w:rPr>
      <w:rFonts w:ascii="Arial" w:hAnsi="Arial" w:eastAsia="Arial" w:cs="Arial"/>
      <w:sz w:val="30"/>
      <w:szCs w:val="30"/>
    </w:rPr>
  </w:style>
  <w:style w:type="character" w:customStyle="1" w:styleId="48">
    <w:name w:val="Heading 4 Char"/>
    <w:basedOn w:val="35"/>
    <w:link w:val="5"/>
    <w:qFormat/>
    <w:uiPriority w:val="9"/>
    <w:rPr>
      <w:rFonts w:ascii="Arial" w:hAnsi="Arial" w:eastAsia="Arial" w:cs="Arial"/>
      <w:b/>
      <w:bCs/>
      <w:sz w:val="26"/>
      <w:szCs w:val="26"/>
    </w:rPr>
  </w:style>
  <w:style w:type="character" w:customStyle="1" w:styleId="49">
    <w:name w:val="Heading 5 Char"/>
    <w:basedOn w:val="35"/>
    <w:link w:val="6"/>
    <w:qFormat/>
    <w:uiPriority w:val="9"/>
    <w:rPr>
      <w:rFonts w:ascii="Arial" w:hAnsi="Arial" w:eastAsia="Arial" w:cs="Arial"/>
      <w:b/>
      <w:bCs/>
      <w:sz w:val="24"/>
      <w:szCs w:val="24"/>
    </w:rPr>
  </w:style>
  <w:style w:type="character" w:customStyle="1" w:styleId="50">
    <w:name w:val="Heading 6 Char"/>
    <w:basedOn w:val="35"/>
    <w:link w:val="7"/>
    <w:qFormat/>
    <w:uiPriority w:val="9"/>
    <w:rPr>
      <w:rFonts w:ascii="Arial" w:hAnsi="Arial" w:eastAsia="Arial" w:cs="Arial"/>
      <w:b/>
      <w:bCs/>
      <w:sz w:val="22"/>
      <w:szCs w:val="22"/>
    </w:rPr>
  </w:style>
  <w:style w:type="character" w:customStyle="1" w:styleId="51">
    <w:name w:val="Heading 7 Char"/>
    <w:basedOn w:val="35"/>
    <w:link w:val="8"/>
    <w:qFormat/>
    <w:uiPriority w:val="9"/>
    <w:rPr>
      <w:rFonts w:ascii="Arial" w:hAnsi="Arial" w:eastAsia="Arial" w:cs="Arial"/>
      <w:b/>
      <w:bCs/>
      <w:i/>
      <w:iCs/>
      <w:sz w:val="22"/>
      <w:szCs w:val="22"/>
    </w:rPr>
  </w:style>
  <w:style w:type="character" w:customStyle="1" w:styleId="52">
    <w:name w:val="Heading 8 Char"/>
    <w:basedOn w:val="35"/>
    <w:link w:val="9"/>
    <w:qFormat/>
    <w:uiPriority w:val="9"/>
    <w:rPr>
      <w:rFonts w:ascii="Arial" w:hAnsi="Arial" w:eastAsia="Arial" w:cs="Arial"/>
      <w:i/>
      <w:iCs/>
      <w:sz w:val="22"/>
      <w:szCs w:val="22"/>
    </w:rPr>
  </w:style>
  <w:style w:type="character" w:customStyle="1" w:styleId="53">
    <w:name w:val="Heading 9 Char"/>
    <w:basedOn w:val="35"/>
    <w:link w:val="10"/>
    <w:qFormat/>
    <w:uiPriority w:val="9"/>
    <w:rPr>
      <w:rFonts w:ascii="Arial" w:hAnsi="Arial" w:eastAsia="Arial" w:cs="Arial"/>
      <w:i/>
      <w:iCs/>
      <w:sz w:val="21"/>
      <w:szCs w:val="21"/>
    </w:rPr>
  </w:style>
  <w:style w:type="paragraph" w:styleId="54">
    <w:name w:val="List Paragraph"/>
    <w:basedOn w:val="1"/>
    <w:qFormat/>
    <w:uiPriority w:val="34"/>
    <w:pPr>
      <w:overflowPunct w:val="0"/>
      <w:autoSpaceDE w:val="0"/>
      <w:autoSpaceDN w:val="0"/>
      <w:ind w:left="720"/>
      <w:contextualSpacing/>
    </w:pPr>
  </w:style>
  <w:style w:type="paragraph" w:styleId="55">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56">
    <w:name w:val="Title Char"/>
    <w:basedOn w:val="35"/>
    <w:link w:val="32"/>
    <w:qFormat/>
    <w:uiPriority w:val="10"/>
    <w:rPr>
      <w:sz w:val="48"/>
      <w:szCs w:val="48"/>
    </w:rPr>
  </w:style>
  <w:style w:type="character" w:customStyle="1" w:styleId="57">
    <w:name w:val="Subtitle Char"/>
    <w:basedOn w:val="35"/>
    <w:link w:val="24"/>
    <w:qFormat/>
    <w:uiPriority w:val="11"/>
    <w:rPr>
      <w:sz w:val="24"/>
      <w:szCs w:val="24"/>
    </w:rPr>
  </w:style>
  <w:style w:type="paragraph" w:styleId="58">
    <w:name w:val="Quote"/>
    <w:basedOn w:val="1"/>
    <w:next w:val="1"/>
    <w:link w:val="59"/>
    <w:qFormat/>
    <w:uiPriority w:val="29"/>
    <w:pPr>
      <w:overflowPunct w:val="0"/>
      <w:autoSpaceDE w:val="0"/>
      <w:autoSpaceDN w:val="0"/>
      <w:ind w:left="720" w:right="720"/>
    </w:pPr>
    <w:rPr>
      <w:i/>
    </w:rPr>
  </w:style>
  <w:style w:type="character" w:customStyle="1" w:styleId="59">
    <w:name w:val="Quote Char"/>
    <w:link w:val="58"/>
    <w:qFormat/>
    <w:uiPriority w:val="29"/>
    <w:rPr>
      <w:i/>
    </w:rPr>
  </w:style>
  <w:style w:type="paragraph" w:styleId="60">
    <w:name w:val="Intense Quote"/>
    <w:basedOn w:val="1"/>
    <w:next w:val="1"/>
    <w:link w:val="61"/>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61">
    <w:name w:val="Intense Quote Char"/>
    <w:link w:val="60"/>
    <w:qFormat/>
    <w:uiPriority w:val="30"/>
    <w:rPr>
      <w:i/>
    </w:rPr>
  </w:style>
  <w:style w:type="character" w:customStyle="1" w:styleId="62">
    <w:name w:val="Header Char"/>
    <w:basedOn w:val="35"/>
    <w:qFormat/>
    <w:uiPriority w:val="99"/>
  </w:style>
  <w:style w:type="character" w:customStyle="1" w:styleId="63">
    <w:name w:val="Footer Char"/>
    <w:basedOn w:val="35"/>
    <w:qFormat/>
    <w:uiPriority w:val="99"/>
  </w:style>
  <w:style w:type="character" w:customStyle="1" w:styleId="64">
    <w:name w:val="Caption Char"/>
    <w:qFormat/>
    <w:uiPriority w:val="99"/>
  </w:style>
  <w:style w:type="table" w:customStyle="1" w:styleId="65">
    <w:name w:val="Table Grid Light"/>
    <w:basedOn w:val="33"/>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6">
    <w:name w:val="Plain Table 1"/>
    <w:basedOn w:val="33"/>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style>
  <w:style w:type="table" w:customStyle="1" w:styleId="67">
    <w:name w:val="Plain Table 2"/>
    <w:basedOn w:val="33"/>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style>
  <w:style w:type="table" w:customStyle="1" w:styleId="68">
    <w:name w:val="Plain Table 3"/>
    <w:basedOn w:val="33"/>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9">
    <w:name w:val="Plain Table 4"/>
    <w:basedOn w:val="33"/>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70">
    <w:name w:val="Plain Table 5"/>
    <w:basedOn w:val="33"/>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71">
    <w:name w:val="Grid Table 1 Light"/>
    <w:basedOn w:val="33"/>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2">
    <w:name w:val="Grid Table 1 Light - Accent 1"/>
    <w:basedOn w:val="33"/>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3">
    <w:name w:val="Grid Table 1 Light - Accent 2"/>
    <w:basedOn w:val="33"/>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4">
    <w:name w:val="Grid Table 1 Light - Accent 3"/>
    <w:basedOn w:val="33"/>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5">
    <w:name w:val="Grid Table 1 Light - Accent 4"/>
    <w:basedOn w:val="33"/>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6">
    <w:name w:val="Grid Table 1 Light - Accent 5"/>
    <w:basedOn w:val="33"/>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7">
    <w:name w:val="Grid Table 1 Light - Accent 6"/>
    <w:basedOn w:val="33"/>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8">
    <w:name w:val="Grid Table 2"/>
    <w:basedOn w:val="33"/>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9">
    <w:name w:val="Grid Table 2 - Accent 1"/>
    <w:basedOn w:val="33"/>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80">
    <w:name w:val="Grid Table 2 - Accent 2"/>
    <w:basedOn w:val="33"/>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1">
    <w:name w:val="Grid Table 2 - Accent 3"/>
    <w:basedOn w:val="33"/>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2">
    <w:name w:val="Grid Table 2 - Accent 4"/>
    <w:basedOn w:val="33"/>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3">
    <w:name w:val="Grid Table 2 - Accent 5"/>
    <w:basedOn w:val="33"/>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4">
    <w:name w:val="Grid Table 2 - Accent 6"/>
    <w:basedOn w:val="33"/>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5">
    <w:name w:val="Grid Table 3"/>
    <w:basedOn w:val="33"/>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6">
    <w:name w:val="Grid Table 3 - Accent 1"/>
    <w:basedOn w:val="33"/>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87">
    <w:name w:val="Grid Table 3 - Accent 2"/>
    <w:basedOn w:val="33"/>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8">
    <w:name w:val="Grid Table 3 - Accent 3"/>
    <w:basedOn w:val="33"/>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9">
    <w:name w:val="Grid Table 3 - Accent 4"/>
    <w:basedOn w:val="33"/>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90">
    <w:name w:val="Grid Table 3 - Accent 5"/>
    <w:basedOn w:val="33"/>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91">
    <w:name w:val="Grid Table 3 - Accent 6"/>
    <w:basedOn w:val="33"/>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2">
    <w:name w:val="Grid Table 4"/>
    <w:basedOn w:val="33"/>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93">
    <w:name w:val="Grid Table 4 - Accent 1"/>
    <w:basedOn w:val="33"/>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94">
    <w:name w:val="Grid Table 4 - Accent 2"/>
    <w:basedOn w:val="33"/>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95">
    <w:name w:val="Grid Table 4 - Accent 3"/>
    <w:basedOn w:val="33"/>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96">
    <w:name w:val="Grid Table 4 - Accent 4"/>
    <w:basedOn w:val="33"/>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97">
    <w:name w:val="Grid Table 4 - Accent 5"/>
    <w:basedOn w:val="33"/>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98">
    <w:name w:val="Grid Table 4 - Accent 6"/>
    <w:basedOn w:val="33"/>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9">
    <w:name w:val="Grid Table 5 Dark"/>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100">
    <w:name w:val="Grid Table 5 Dark- Accent 1"/>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101">
    <w:name w:val="Grid Table 5 Dark - Accent 2"/>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102">
    <w:name w:val="Grid Table 5 Dark - Accent 3"/>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103">
    <w:name w:val="Grid Table 5 Dark- Accent 4"/>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104">
    <w:name w:val="Grid Table 5 Dark - Accent 5"/>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105">
    <w:name w:val="Grid Table 5 Dark - Accent 6"/>
    <w:basedOn w:val="33"/>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106">
    <w:name w:val="Grid Table 6 Colorful"/>
    <w:basedOn w:val="33"/>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7">
    <w:name w:val="Grid Table 6 Colorful - Accent 1"/>
    <w:basedOn w:val="33"/>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8">
    <w:name w:val="Grid Table 6 Colorful - Accent 2"/>
    <w:basedOn w:val="33"/>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9">
    <w:name w:val="Grid Table 6 Colorful - Accent 3"/>
    <w:basedOn w:val="33"/>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0">
    <w:name w:val="Grid Table 6 Colorful - Accent 4"/>
    <w:basedOn w:val="33"/>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1">
    <w:name w:val="Grid Table 6 Colorful - Accent 5"/>
    <w:basedOn w:val="33"/>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2">
    <w:name w:val="Grid Table 6 Colorful - Accent 6"/>
    <w:basedOn w:val="33"/>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3">
    <w:name w:val="Grid Table 7 Colorful"/>
    <w:basedOn w:val="33"/>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4">
    <w:name w:val="Grid Table 7 Colorful - Accent 1"/>
    <w:basedOn w:val="33"/>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5">
    <w:name w:val="Grid Table 7 Colorful - Accent 2"/>
    <w:basedOn w:val="33"/>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6">
    <w:name w:val="Grid Table 7 Colorful - Accent 3"/>
    <w:basedOn w:val="33"/>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7">
    <w:name w:val="Grid Table 7 Colorful - Accent 4"/>
    <w:basedOn w:val="33"/>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8">
    <w:name w:val="Grid Table 7 Colorful - Accent 5"/>
    <w:basedOn w:val="33"/>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9">
    <w:name w:val="Grid Table 7 Colorful - Accent 6"/>
    <w:basedOn w:val="33"/>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0">
    <w:name w:val="List Table 1 Light"/>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21">
    <w:name w:val="List Table 1 Light - Accent 1"/>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22">
    <w:name w:val="List Table 1 Light - Accent 2"/>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23">
    <w:name w:val="List Table 1 Light - Accent 3"/>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24">
    <w:name w:val="List Table 1 Light - Accent 4"/>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25">
    <w:name w:val="List Table 1 Light - Accent 5"/>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26">
    <w:name w:val="List Table 1 Light - Accent 6"/>
    <w:basedOn w:val="33"/>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27">
    <w:name w:val="List Table 2"/>
    <w:basedOn w:val="33"/>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8">
    <w:name w:val="List Table 2 - Accent 1"/>
    <w:basedOn w:val="33"/>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9">
    <w:name w:val="List Table 2 - Accent 2"/>
    <w:basedOn w:val="33"/>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0">
    <w:name w:val="List Table 2 - Accent 3"/>
    <w:basedOn w:val="33"/>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1">
    <w:name w:val="List Table 2 - Accent 4"/>
    <w:basedOn w:val="33"/>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2">
    <w:name w:val="List Table 2 - Accent 5"/>
    <w:basedOn w:val="33"/>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3">
    <w:name w:val="List Table 2 - Accent 6"/>
    <w:basedOn w:val="33"/>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4">
    <w:name w:val="List Table 3"/>
    <w:basedOn w:val="33"/>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5">
    <w:name w:val="List Table 3 - Accent 1"/>
    <w:basedOn w:val="33"/>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6">
    <w:name w:val="List Table 3 - Accent 2"/>
    <w:basedOn w:val="33"/>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7">
    <w:name w:val="List Table 3 - Accent 3"/>
    <w:basedOn w:val="33"/>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8">
    <w:name w:val="List Table 3 - Accent 4"/>
    <w:basedOn w:val="33"/>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9">
    <w:name w:val="List Table 3 - Accent 5"/>
    <w:basedOn w:val="33"/>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0">
    <w:name w:val="List Table 3 - Accent 6"/>
    <w:basedOn w:val="33"/>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1">
    <w:name w:val="List Table 4"/>
    <w:basedOn w:val="33"/>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42">
    <w:name w:val="List Table 4 - Accent 1"/>
    <w:basedOn w:val="33"/>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43">
    <w:name w:val="List Table 4 - Accent 2"/>
    <w:basedOn w:val="33"/>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44">
    <w:name w:val="List Table 4 - Accent 3"/>
    <w:basedOn w:val="33"/>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45">
    <w:name w:val="List Table 4 - Accent 4"/>
    <w:basedOn w:val="33"/>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46">
    <w:name w:val="List Table 4 - Accent 5"/>
    <w:basedOn w:val="33"/>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47">
    <w:name w:val="List Table 4 - Accent 6"/>
    <w:basedOn w:val="33"/>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48">
    <w:name w:val="List Table 5 Dark"/>
    <w:basedOn w:val="33"/>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style>
  <w:style w:type="table" w:customStyle="1" w:styleId="149">
    <w:name w:val="List Table 5 Dark - Accent 1"/>
    <w:basedOn w:val="33"/>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style>
  <w:style w:type="table" w:customStyle="1" w:styleId="150">
    <w:name w:val="List Table 5 Dark - Accent 2"/>
    <w:basedOn w:val="33"/>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style>
  <w:style w:type="table" w:customStyle="1" w:styleId="151">
    <w:name w:val="List Table 5 Dark - Accent 3"/>
    <w:basedOn w:val="33"/>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style>
  <w:style w:type="table" w:customStyle="1" w:styleId="152">
    <w:name w:val="List Table 5 Dark - Accent 4"/>
    <w:basedOn w:val="33"/>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style>
  <w:style w:type="table" w:customStyle="1" w:styleId="153">
    <w:name w:val="List Table 5 Dark - Accent 5"/>
    <w:basedOn w:val="33"/>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style>
  <w:style w:type="table" w:customStyle="1" w:styleId="154">
    <w:name w:val="List Table 5 Dark - Accent 6"/>
    <w:basedOn w:val="33"/>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style>
  <w:style w:type="table" w:customStyle="1" w:styleId="155">
    <w:name w:val="List Table 6 Colorful"/>
    <w:basedOn w:val="33"/>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6">
    <w:name w:val="List Table 6 Colorful - Accent 1"/>
    <w:basedOn w:val="33"/>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7">
    <w:name w:val="List Table 6 Colorful - Accent 2"/>
    <w:basedOn w:val="33"/>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8">
    <w:name w:val="List Table 6 Colorful - Accent 3"/>
    <w:basedOn w:val="33"/>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9">
    <w:name w:val="List Table 6 Colorful - Accent 4"/>
    <w:basedOn w:val="33"/>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0">
    <w:name w:val="List Table 6 Colorful - Accent 5"/>
    <w:basedOn w:val="33"/>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1">
    <w:name w:val="List Table 6 Colorful - Accent 6"/>
    <w:basedOn w:val="33"/>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2">
    <w:name w:val="List Table 7 Colorful"/>
    <w:basedOn w:val="33"/>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3">
    <w:name w:val="List Table 7 Colorful - Accent 1"/>
    <w:basedOn w:val="33"/>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4">
    <w:name w:val="List Table 7 Colorful - Accent 2"/>
    <w:basedOn w:val="33"/>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5">
    <w:name w:val="List Table 7 Colorful - Accent 3"/>
    <w:basedOn w:val="33"/>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6">
    <w:name w:val="List Table 7 Colorful - Accent 4"/>
    <w:basedOn w:val="33"/>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7">
    <w:name w:val="List Table 7 Colorful - Accent 5"/>
    <w:basedOn w:val="33"/>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8">
    <w:name w:val="List Table 7 Colorful - Accent 6"/>
    <w:basedOn w:val="33"/>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9">
    <w:name w:val="Lined - Accent"/>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70">
    <w:name w:val="Lined - Accent 1"/>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71">
    <w:name w:val="Lined - Accent 2"/>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2">
    <w:name w:val="Lined - Accent 3"/>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73">
    <w:name w:val="Lined - Accent 4"/>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4">
    <w:name w:val="Lined - Accent 5"/>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style>
  <w:style w:type="table" w:customStyle="1" w:styleId="175">
    <w:name w:val="Lined - Accent 6"/>
    <w:basedOn w:val="33"/>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style>
  <w:style w:type="table" w:customStyle="1" w:styleId="176">
    <w:name w:val="Bordered &amp; Lined - Accent"/>
    <w:basedOn w:val="33"/>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77">
    <w:name w:val="Bordered &amp; Lined - Accent 1"/>
    <w:basedOn w:val="33"/>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78">
    <w:name w:val="Bordered &amp; Lined - Accent 2"/>
    <w:basedOn w:val="33"/>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9">
    <w:name w:val="Bordered &amp; Lined - Accent 3"/>
    <w:basedOn w:val="33"/>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80">
    <w:name w:val="Bordered &amp; Lined - Accent 4"/>
    <w:basedOn w:val="33"/>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81">
    <w:name w:val="Bordered &amp; Lined - Accent 5"/>
    <w:basedOn w:val="33"/>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style>
  <w:style w:type="table" w:customStyle="1" w:styleId="182">
    <w:name w:val="Bordered &amp; Lined - Accent 6"/>
    <w:basedOn w:val="33"/>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style>
  <w:style w:type="table" w:customStyle="1" w:styleId="183">
    <w:name w:val="Bordered"/>
    <w:basedOn w:val="33"/>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4">
    <w:name w:val="Bordered - Accent 1"/>
    <w:basedOn w:val="33"/>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5">
    <w:name w:val="Bordered - Accent 2"/>
    <w:basedOn w:val="33"/>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6">
    <w:name w:val="Bordered - Accent 3"/>
    <w:basedOn w:val="33"/>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7">
    <w:name w:val="Bordered - Accent 4"/>
    <w:basedOn w:val="33"/>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8">
    <w:name w:val="Bordered - Accent 5"/>
    <w:basedOn w:val="33"/>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9">
    <w:name w:val="Bordered - Accent 6"/>
    <w:basedOn w:val="33"/>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0">
    <w:name w:val="Footnote Text Char"/>
    <w:link w:val="25"/>
    <w:qFormat/>
    <w:uiPriority w:val="99"/>
    <w:rPr>
      <w:sz w:val="18"/>
    </w:rPr>
  </w:style>
  <w:style w:type="paragraph" w:customStyle="1" w:styleId="191">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192">
    <w:name w:val="line1"/>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4166</Words>
  <Characters>4607</Characters>
  <TotalTime>3</TotalTime>
  <ScaleCrop>false</ScaleCrop>
  <LinksUpToDate>false</LinksUpToDate>
  <CharactersWithSpaces>4662</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2014-09-27T00:34:00Z</dcterms:created>
  <dc:creator>wang</dc:creator>
  <cp:lastModifiedBy>姚炜欣</cp:lastModifiedBy>
  <dcterms:modified xsi:type="dcterms:W3CDTF">2026-07-27T09:05:24Z</dcterms:modified>
  <dc:title>广州市人民政府</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eyJoZGlkIjoiZjNjMjllOTFkNGUzMTAwZDRlYTA4MWZkMzZjZWE3NzIiLCJ1c2VySWQiOiI5NTQxOTIwNTQifQ==</vt:lpwstr>
  </property>
  <property fmtid="{D5CDD505-2E9C-101B-9397-08002B2CF9AE}" pid="3" name="KSOProductBuildVer">
    <vt:lpwstr>2052-11.8.2.12344</vt:lpwstr>
  </property>
  <property fmtid="{D5CDD505-2E9C-101B-9397-08002B2CF9AE}" pid="4" name="ICV">
    <vt:lpwstr>E69B817C4DD54029AA74C9829B24B376_12</vt:lpwstr>
  </property>
</Properties>
</file>