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right"/>
        <w:rPr>
          <w:rFonts w:hint="default" w:ascii="Times New Roman" w:hAnsi="Times New Roman" w:eastAsia="方正小标宋_GBK" w:cs="Times New Roman"/>
          <w:bCs/>
          <w:color w:val="auto"/>
          <w:sz w:val="44"/>
          <w:szCs w:val="44"/>
        </w:rPr>
      </w:pPr>
      <w:r>
        <w:rPr>
          <w:rFonts w:hint="default" w:ascii="Times New Roman" w:hAnsi="Times New Roman" w:eastAsia="仿宋_GB2312" w:cs="Times New Roman"/>
          <w:sz w:val="32"/>
          <w:szCs w:val="32"/>
          <w:highlight w:val="none"/>
          <w:lang w:val="en-US" w:eastAsia="zh-CN"/>
        </w:rPr>
        <w:t>粤府土审（02）〔202</w:t>
      </w:r>
      <w:r>
        <w:rPr>
          <w:rFonts w:hint="eastAsia" w:eastAsia="仿宋_GB2312" w:cs="Times New Roman"/>
          <w:sz w:val="32"/>
          <w:szCs w:val="32"/>
          <w:highlight w:val="none"/>
          <w:lang w:val="en-US" w:eastAsia="zh-CN"/>
        </w:rPr>
        <w:t>4</w:t>
      </w:r>
      <w:r>
        <w:rPr>
          <w:rFonts w:hint="default" w:ascii="Times New Roman" w:hAnsi="Times New Roman" w:eastAsia="仿宋_GB2312" w:cs="Times New Roman"/>
          <w:sz w:val="32"/>
          <w:szCs w:val="32"/>
          <w:highlight w:val="none"/>
          <w:lang w:val="en-US" w:eastAsia="zh-CN"/>
        </w:rPr>
        <w:t>〕</w:t>
      </w:r>
      <w:r>
        <w:rPr>
          <w:rFonts w:hint="eastAsia" w:eastAsia="仿宋_GB2312" w:cs="Times New Roman"/>
          <w:sz w:val="32"/>
          <w:szCs w:val="32"/>
          <w:highlight w:val="none"/>
          <w:lang w:val="en-US" w:eastAsia="zh-CN"/>
        </w:rPr>
        <w:t>129</w:t>
      </w:r>
      <w:r>
        <w:rPr>
          <w:rFonts w:hint="default" w:ascii="Times New Roman" w:hAnsi="Times New Roman" w:eastAsia="仿宋_GB2312" w:cs="Times New Roman"/>
          <w:sz w:val="32"/>
          <w:szCs w:val="32"/>
          <w:highlight w:val="none"/>
          <w:lang w:val="en-US" w:eastAsia="zh-CN"/>
        </w:rPr>
        <w:t>号</w:t>
      </w:r>
    </w:p>
    <w:p>
      <w:pPr>
        <w:spacing w:line="560" w:lineRule="exact"/>
        <w:jc w:val="center"/>
        <w:rPr>
          <w:rFonts w:hint="default" w:ascii="Times New Roman" w:hAnsi="Times New Roman" w:eastAsia="方正小标宋_GBK" w:cs="Times New Roman"/>
          <w:bCs/>
          <w:color w:val="auto"/>
          <w:sz w:val="44"/>
          <w:szCs w:val="44"/>
        </w:rPr>
      </w:pPr>
    </w:p>
    <w:p>
      <w:pPr>
        <w:spacing w:line="560" w:lineRule="exact"/>
        <w:jc w:val="center"/>
        <w:rPr>
          <w:rFonts w:hint="default" w:ascii="Times New Roman" w:hAnsi="Times New Roman" w:eastAsia="方正小标宋简体" w:cs="Times New Roman"/>
          <w:bCs/>
          <w:color w:val="auto"/>
          <w:sz w:val="44"/>
          <w:szCs w:val="44"/>
        </w:rPr>
      </w:pPr>
      <w:r>
        <w:rPr>
          <w:rFonts w:hint="default" w:ascii="Times New Roman" w:hAnsi="Times New Roman" w:eastAsia="方正小标宋简体" w:cs="Times New Roman"/>
          <w:bCs/>
          <w:color w:val="auto"/>
          <w:sz w:val="44"/>
          <w:szCs w:val="44"/>
        </w:rPr>
        <w:t>广东省人民政府关于广州市花都区202</w:t>
      </w:r>
      <w:r>
        <w:rPr>
          <w:rFonts w:hint="eastAsia" w:eastAsia="方正小标宋简体" w:cs="Times New Roman"/>
          <w:bCs/>
          <w:color w:val="auto"/>
          <w:sz w:val="44"/>
          <w:szCs w:val="44"/>
          <w:lang w:val="en-US" w:eastAsia="zh-CN"/>
        </w:rPr>
        <w:t>2</w:t>
      </w:r>
      <w:r>
        <w:rPr>
          <w:rFonts w:hint="default" w:ascii="Times New Roman" w:hAnsi="Times New Roman" w:eastAsia="方正小标宋简体" w:cs="Times New Roman"/>
          <w:bCs/>
          <w:color w:val="auto"/>
          <w:sz w:val="44"/>
          <w:szCs w:val="44"/>
        </w:rPr>
        <w:t>年度</w:t>
      </w:r>
    </w:p>
    <w:p>
      <w:pPr>
        <w:spacing w:line="560" w:lineRule="exact"/>
        <w:jc w:val="center"/>
        <w:rPr>
          <w:rFonts w:hint="default" w:ascii="Times New Roman" w:hAnsi="Times New Roman" w:eastAsia="方正小标宋_GBK" w:cs="Times New Roman"/>
          <w:bCs/>
          <w:color w:val="auto"/>
          <w:sz w:val="44"/>
          <w:szCs w:val="44"/>
          <w:u w:val="none"/>
        </w:rPr>
      </w:pPr>
      <w:r>
        <w:rPr>
          <w:rFonts w:hint="default" w:ascii="Times New Roman" w:hAnsi="Times New Roman" w:eastAsia="方正小标宋简体" w:cs="Times New Roman"/>
          <w:bCs/>
          <w:color w:val="auto"/>
          <w:sz w:val="44"/>
          <w:szCs w:val="44"/>
        </w:rPr>
        <w:t>第三十</w:t>
      </w:r>
      <w:r>
        <w:rPr>
          <w:rFonts w:hint="eastAsia" w:eastAsia="方正小标宋简体" w:cs="Times New Roman"/>
          <w:bCs/>
          <w:color w:val="auto"/>
          <w:sz w:val="44"/>
          <w:szCs w:val="44"/>
          <w:lang w:eastAsia="zh-CN"/>
        </w:rPr>
        <w:t>九</w:t>
      </w:r>
      <w:r>
        <w:rPr>
          <w:rFonts w:hint="default" w:ascii="Times New Roman" w:hAnsi="Times New Roman" w:eastAsia="方正小标宋简体" w:cs="Times New Roman"/>
          <w:bCs/>
          <w:color w:val="auto"/>
          <w:sz w:val="44"/>
          <w:szCs w:val="44"/>
        </w:rPr>
        <w:t>批次城镇建设用地</w:t>
      </w:r>
      <w:r>
        <w:rPr>
          <w:rFonts w:hint="default" w:ascii="Times New Roman" w:hAnsi="Times New Roman" w:eastAsia="方正小标宋简体" w:cs="Times New Roman"/>
          <w:bCs/>
          <w:color w:val="auto"/>
          <w:sz w:val="44"/>
          <w:szCs w:val="44"/>
          <w:u w:val="none"/>
        </w:rPr>
        <w:t>的批复</w:t>
      </w:r>
    </w:p>
    <w:p>
      <w:pPr>
        <w:widowControl/>
        <w:spacing w:line="600" w:lineRule="exact"/>
        <w:jc w:val="center"/>
        <w:textAlignment w:val="baseline"/>
        <w:rPr>
          <w:rFonts w:hint="default" w:ascii="Times New Roman" w:hAnsi="Times New Roman" w:cs="Times New Roman"/>
          <w:b/>
          <w:color w:val="auto"/>
          <w:sz w:val="32"/>
          <w:szCs w:val="32"/>
          <w:u w:val="none"/>
        </w:rPr>
      </w:pPr>
    </w:p>
    <w:p>
      <w:pPr>
        <w:widowControl/>
        <w:spacing w:line="560" w:lineRule="exact"/>
        <w:jc w:val="left"/>
        <w:textAlignment w:val="baseline"/>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广州市人民政府：</w:t>
      </w:r>
    </w:p>
    <w:p>
      <w:pPr>
        <w:widowControl/>
        <w:spacing w:line="600" w:lineRule="exact"/>
        <w:ind w:firstLine="632" w:firstLineChars="200"/>
        <w:textAlignment w:val="baseline"/>
        <w:rPr>
          <w:rFonts w:hint="default" w:ascii="Times New Roman" w:hAnsi="Times New Roman" w:eastAsia="仿宋_GB2312" w:cs="Times New Roman"/>
          <w:color w:val="auto"/>
          <w:sz w:val="32"/>
          <w:szCs w:val="32"/>
        </w:rPr>
      </w:pPr>
      <w:r>
        <w:rPr>
          <w:rFonts w:hint="eastAsia" w:eastAsia="仿宋_GB2312" w:cs="Times New Roman"/>
          <w:color w:val="auto"/>
          <w:sz w:val="32"/>
          <w:szCs w:val="32"/>
          <w:lang w:eastAsia="zh-CN"/>
        </w:rPr>
        <w:t>《</w:t>
      </w:r>
      <w:r>
        <w:rPr>
          <w:rFonts w:hint="default" w:ascii="Times New Roman" w:hAnsi="Times New Roman" w:eastAsia="仿宋_GB2312" w:cs="Times New Roman"/>
          <w:color w:val="auto"/>
          <w:sz w:val="32"/>
          <w:szCs w:val="32"/>
        </w:rPr>
        <w:t>广州市规划和自然资源局关于审批广州市花都区2022年度第三十九批次城镇建设用地的请示</w:t>
      </w:r>
      <w:r>
        <w:rPr>
          <w:rFonts w:hint="eastAsia" w:eastAsia="仿宋_GB2312" w:cs="Times New Roman"/>
          <w:color w:val="auto"/>
          <w:sz w:val="32"/>
          <w:szCs w:val="32"/>
          <w:lang w:eastAsia="zh-CN"/>
        </w:rPr>
        <w:t>》（</w:t>
      </w:r>
      <w:r>
        <w:rPr>
          <w:rFonts w:hint="default" w:ascii="Times New Roman" w:hAnsi="Times New Roman" w:eastAsia="仿宋_GB2312" w:cs="Times New Roman"/>
          <w:color w:val="auto"/>
          <w:sz w:val="32"/>
          <w:szCs w:val="32"/>
        </w:rPr>
        <w:t>穗规划资源</w:t>
      </w:r>
      <w:r>
        <w:rPr>
          <w:rFonts w:hint="eastAsia" w:eastAsia="仿宋_GB2312" w:cs="Times New Roman"/>
          <w:color w:val="auto"/>
          <w:sz w:val="32"/>
          <w:szCs w:val="32"/>
          <w:lang w:eastAsia="zh-CN"/>
        </w:rPr>
        <w:t>（</w:t>
      </w:r>
      <w:r>
        <w:rPr>
          <w:rFonts w:hint="default" w:ascii="Times New Roman" w:hAnsi="Times New Roman" w:eastAsia="仿宋_GB2312" w:cs="Times New Roman"/>
          <w:color w:val="auto"/>
          <w:sz w:val="32"/>
          <w:szCs w:val="32"/>
        </w:rPr>
        <w:t>用地</w:t>
      </w:r>
      <w:r>
        <w:rPr>
          <w:rFonts w:hint="eastAsia" w:eastAsia="仿宋_GB2312" w:cs="Times New Roman"/>
          <w:color w:val="auto"/>
          <w:sz w:val="32"/>
          <w:szCs w:val="32"/>
          <w:lang w:eastAsia="zh-CN"/>
        </w:rPr>
        <w:t>）</w:t>
      </w:r>
      <w:r>
        <w:rPr>
          <w:rFonts w:hint="default" w:ascii="Times New Roman" w:hAnsi="Times New Roman" w:eastAsia="仿宋_GB2312" w:cs="Times New Roman"/>
          <w:color w:val="auto"/>
          <w:sz w:val="32"/>
          <w:szCs w:val="32"/>
        </w:rPr>
        <w:t>报</w:t>
      </w:r>
      <w:r>
        <w:rPr>
          <w:rFonts w:hint="default" w:ascii="Times New Roman" w:hAnsi="Times New Roman" w:eastAsia="仿宋_GB2312" w:cs="Times New Roman"/>
          <w:sz w:val="32"/>
          <w:szCs w:val="32"/>
          <w:highlight w:val="none"/>
          <w:lang w:val="en-US" w:eastAsia="zh-CN"/>
        </w:rPr>
        <w:t>〔202</w:t>
      </w:r>
      <w:r>
        <w:rPr>
          <w:rFonts w:hint="eastAsia" w:eastAsia="仿宋_GB2312" w:cs="Times New Roman"/>
          <w:sz w:val="32"/>
          <w:szCs w:val="32"/>
          <w:highlight w:val="none"/>
          <w:lang w:val="en-US" w:eastAsia="zh-CN"/>
        </w:rPr>
        <w:t>4</w:t>
      </w:r>
      <w:r>
        <w:rPr>
          <w:rFonts w:hint="default"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color w:val="auto"/>
          <w:sz w:val="32"/>
          <w:szCs w:val="32"/>
        </w:rPr>
        <w:t>358号</w:t>
      </w:r>
      <w:r>
        <w:rPr>
          <w:rFonts w:hint="eastAsia" w:eastAsia="仿宋_GB2312" w:cs="Times New Roman"/>
          <w:color w:val="auto"/>
          <w:sz w:val="32"/>
          <w:szCs w:val="32"/>
          <w:lang w:eastAsia="zh-CN"/>
        </w:rPr>
        <w:t>）</w:t>
      </w:r>
      <w:r>
        <w:rPr>
          <w:rFonts w:hint="default" w:ascii="Times New Roman" w:hAnsi="Times New Roman" w:eastAsia="仿宋_GB2312" w:cs="Times New Roman"/>
          <w:color w:val="auto"/>
          <w:sz w:val="32"/>
          <w:szCs w:val="32"/>
        </w:rPr>
        <w:t>、《广州市花都区人民政府关于申请广州市花都区2022年度第三十九批次城镇建设用地土地征收的</w:t>
      </w:r>
      <w:bookmarkStart w:id="0" w:name="_GoBack"/>
      <w:bookmarkEnd w:id="0"/>
      <w:r>
        <w:rPr>
          <w:rFonts w:hint="default" w:ascii="Times New Roman" w:hAnsi="Times New Roman" w:eastAsia="仿宋_GB2312" w:cs="Times New Roman"/>
          <w:color w:val="auto"/>
          <w:sz w:val="32"/>
          <w:szCs w:val="32"/>
        </w:rPr>
        <w:t>请示》</w:t>
      </w:r>
      <w:r>
        <w:rPr>
          <w:rFonts w:hint="eastAsia" w:eastAsia="仿宋_GB2312" w:cs="Times New Roman"/>
          <w:color w:val="auto"/>
          <w:sz w:val="32"/>
          <w:szCs w:val="32"/>
          <w:lang w:eastAsia="zh-CN"/>
        </w:rPr>
        <w:t>（</w:t>
      </w:r>
      <w:r>
        <w:rPr>
          <w:rFonts w:hint="default" w:ascii="Times New Roman" w:hAnsi="Times New Roman" w:eastAsia="仿宋_GB2312" w:cs="Times New Roman"/>
          <w:color w:val="auto"/>
          <w:sz w:val="32"/>
          <w:szCs w:val="32"/>
        </w:rPr>
        <w:t>花府字</w:t>
      </w:r>
      <w:r>
        <w:rPr>
          <w:rFonts w:hint="default" w:ascii="Times New Roman" w:hAnsi="Times New Roman" w:eastAsia="仿宋_GB2312" w:cs="Times New Roman"/>
          <w:sz w:val="32"/>
          <w:szCs w:val="32"/>
          <w:highlight w:val="none"/>
          <w:lang w:val="en-US" w:eastAsia="zh-CN"/>
        </w:rPr>
        <w:t>〔202</w:t>
      </w:r>
      <w:r>
        <w:rPr>
          <w:rFonts w:hint="eastAsia" w:eastAsia="仿宋_GB2312" w:cs="Times New Roman"/>
          <w:sz w:val="32"/>
          <w:szCs w:val="32"/>
          <w:highlight w:val="none"/>
          <w:lang w:val="en-US" w:eastAsia="zh-CN"/>
        </w:rPr>
        <w:t>4</w:t>
      </w:r>
      <w:r>
        <w:rPr>
          <w:rFonts w:hint="default"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color w:val="auto"/>
          <w:sz w:val="32"/>
          <w:szCs w:val="32"/>
        </w:rPr>
        <w:t>68号</w:t>
      </w:r>
      <w:r>
        <w:rPr>
          <w:rFonts w:hint="eastAsia" w:eastAsia="仿宋_GB2312" w:cs="Times New Roman"/>
          <w:color w:val="auto"/>
          <w:sz w:val="32"/>
          <w:szCs w:val="32"/>
          <w:lang w:eastAsia="zh-CN"/>
        </w:rPr>
        <w:t>）</w:t>
      </w:r>
      <w:r>
        <w:rPr>
          <w:rFonts w:hint="default" w:ascii="Times New Roman" w:hAnsi="Times New Roman" w:eastAsia="仿宋_GB2312" w:cs="Times New Roman"/>
          <w:color w:val="auto"/>
          <w:sz w:val="32"/>
          <w:szCs w:val="32"/>
        </w:rPr>
        <w:t>及相关材料已通过审核。根据《中华人民共和国土地管理法》第四十四、四十五、四十六条，批复如下:</w:t>
      </w:r>
    </w:p>
    <w:p>
      <w:pPr>
        <w:widowControl/>
        <w:spacing w:line="600" w:lineRule="exact"/>
        <w:ind w:firstLine="632" w:firstLineChars="200"/>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一、同意使用0.8050公顷城镇建设用地，即同意你市将花都区狮岭镇军田经济联合社、军田军一、军田军二经济合作社属下的集体农用地0.7753公顷</w:t>
      </w:r>
      <w:r>
        <w:rPr>
          <w:rFonts w:hint="eastAsia" w:eastAsia="仿宋_GB2312" w:cs="Times New Roman"/>
          <w:color w:val="auto"/>
          <w:sz w:val="32"/>
          <w:szCs w:val="32"/>
          <w:lang w:eastAsia="zh-CN"/>
        </w:rPr>
        <w:t>（</w:t>
      </w:r>
      <w:r>
        <w:rPr>
          <w:rFonts w:hint="default" w:ascii="Times New Roman" w:hAnsi="Times New Roman" w:eastAsia="仿宋_GB2312" w:cs="Times New Roman"/>
          <w:color w:val="auto"/>
          <w:sz w:val="32"/>
          <w:szCs w:val="32"/>
        </w:rPr>
        <w:t>耕地0.2125公顷</w:t>
      </w:r>
      <w:r>
        <w:rPr>
          <w:rFonts w:hint="eastAsia" w:eastAsia="仿宋_GB2312" w:cs="Times New Roman"/>
          <w:color w:val="auto"/>
          <w:sz w:val="32"/>
          <w:szCs w:val="32"/>
          <w:lang w:eastAsia="zh-CN"/>
        </w:rPr>
        <w:t>）</w:t>
      </w:r>
      <w:r>
        <w:rPr>
          <w:rFonts w:hint="default" w:ascii="Times New Roman" w:hAnsi="Times New Roman" w:eastAsia="仿宋_GB2312" w:cs="Times New Roman"/>
          <w:color w:val="auto"/>
          <w:sz w:val="32"/>
          <w:szCs w:val="32"/>
        </w:rPr>
        <w:t>转为建设用地，同时使用上述有关村集体建设用地0.0297公顷，以上合计0.8050公顷集体土地一并办理征地手续，上述批准建设用地0.8050公顷由当地人民政府依法依规供应。</w:t>
      </w:r>
    </w:p>
    <w:p>
      <w:pPr>
        <w:widowControl/>
        <w:spacing w:line="600" w:lineRule="exact"/>
        <w:ind w:firstLine="632" w:firstLineChars="200"/>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二、请你市人民政府负责落实补充耕地。督促补充耕地责任单位认真落实耕地占补平衡，补充数量相等、质量相当的耕地对应核销耕地数量、水田规模和标准粮食产能指标(确认信息编号:440000202322253059)，落实建设占用耕地耕作层土壤剥离利用。</w:t>
      </w:r>
    </w:p>
    <w:p>
      <w:pPr>
        <w:widowControl/>
        <w:spacing w:line="600" w:lineRule="exact"/>
        <w:ind w:firstLine="632" w:firstLineChars="200"/>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三、请你市人民政府按照《中华人民共和国土地管理法》有关规定，严格履行征地批后实施程序，及时足额支付补偿费用，安排被征地农民的社会保障费用，落实安置措施，妥善解决好被征地农民的生产和生活，保证原有生活水平不降低，长远生计有保障。征地补偿安置不落实的，不得动工用地。你市相关不动产登记机构以此办理集体土地所有权注销或变更登记。</w:t>
      </w:r>
    </w:p>
    <w:p>
      <w:pPr>
        <w:widowControl/>
        <w:spacing w:line="600" w:lineRule="exact"/>
        <w:ind w:firstLine="632" w:firstLineChars="200"/>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四、使用土地涉及的耕地占用税等有关税费的收缴或调整，请按有关规定办理。</w:t>
      </w:r>
    </w:p>
    <w:p>
      <w:pPr>
        <w:widowControl/>
        <w:spacing w:line="600" w:lineRule="exact"/>
        <w:ind w:firstLine="632" w:firstLineChars="200"/>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五、征地批后实施情况和具体项目供地情况须按规定报备。</w:t>
      </w:r>
    </w:p>
    <w:p>
      <w:pPr>
        <w:widowControl/>
        <w:spacing w:line="600" w:lineRule="exact"/>
        <w:ind w:firstLine="632" w:firstLineChars="200"/>
        <w:textAlignment w:val="baseline"/>
        <w:rPr>
          <w:rFonts w:hint="default" w:ascii="Times New Roman" w:hAnsi="Times New Roman" w:eastAsia="仿宋_GB2312" w:cs="Times New Roman"/>
          <w:color w:val="auto"/>
          <w:sz w:val="32"/>
          <w:szCs w:val="32"/>
        </w:rPr>
      </w:pPr>
    </w:p>
    <w:p>
      <w:pPr>
        <w:widowControl/>
        <w:spacing w:line="600" w:lineRule="exact"/>
        <w:ind w:firstLine="645"/>
        <w:textAlignment w:val="baseline"/>
        <w:rPr>
          <w:rFonts w:hint="eastAsia" w:ascii="Times New Roman" w:hAnsi="Times New Roman" w:eastAsia="仿宋_GB2312" w:cs="Times New Roman"/>
          <w:color w:val="auto"/>
          <w:sz w:val="32"/>
          <w:szCs w:val="32"/>
          <w:lang w:eastAsia="zh-CN"/>
        </w:rPr>
      </w:pPr>
    </w:p>
    <w:p>
      <w:pPr>
        <w:widowControl/>
        <w:spacing w:line="600" w:lineRule="exact"/>
        <w:ind w:firstLine="5372" w:firstLineChars="1700"/>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广东省人民政府</w:t>
      </w:r>
    </w:p>
    <w:p>
      <w:pPr>
        <w:widowControl/>
        <w:spacing w:line="600" w:lineRule="exact"/>
        <w:ind w:firstLine="645"/>
        <w:jc w:val="center"/>
        <w:textAlignment w:val="baseline"/>
        <w:rPr>
          <w:rFonts w:hint="default" w:ascii="Times New Roman" w:hAnsi="Times New Roman" w:eastAsia="仿宋_GB2312" w:cs="Times New Roman"/>
          <w:color w:val="auto"/>
          <w:sz w:val="32"/>
          <w:szCs w:val="32"/>
        </w:rPr>
      </w:pPr>
      <w:r>
        <w:rPr>
          <w:rFonts w:hint="eastAsia" w:eastAsia="仿宋_GB2312" w:cs="Times New Roman"/>
          <w:color w:val="auto"/>
          <w:kern w:val="2"/>
          <w:sz w:val="32"/>
          <w:szCs w:val="32"/>
          <w:highlight w:val="none"/>
          <w:u w:val="none"/>
          <w:lang w:val="en-US" w:eastAsia="zh-CN" w:bidi="ar-SA"/>
        </w:rPr>
        <w:t xml:space="preserve">                       </w:t>
      </w:r>
      <w:r>
        <w:rPr>
          <w:rFonts w:hint="default" w:ascii="Times New Roman" w:hAnsi="Times New Roman" w:eastAsia="仿宋_GB2312" w:cs="Times New Roman"/>
          <w:color w:val="auto"/>
          <w:kern w:val="2"/>
          <w:sz w:val="32"/>
          <w:szCs w:val="32"/>
          <w:highlight w:val="none"/>
          <w:u w:val="none"/>
          <w:lang w:val="en-US" w:eastAsia="zh-CN" w:bidi="ar-SA"/>
        </w:rPr>
        <w:t>202</w:t>
      </w:r>
      <w:r>
        <w:rPr>
          <w:rFonts w:hint="eastAsia" w:eastAsia="仿宋_GB2312" w:cs="Times New Roman"/>
          <w:color w:val="auto"/>
          <w:kern w:val="2"/>
          <w:sz w:val="32"/>
          <w:szCs w:val="32"/>
          <w:highlight w:val="none"/>
          <w:u w:val="none"/>
          <w:lang w:val="en-US" w:eastAsia="zh-CN" w:bidi="ar-SA"/>
        </w:rPr>
        <w:t>4</w:t>
      </w:r>
      <w:r>
        <w:rPr>
          <w:rFonts w:hint="default" w:ascii="Times New Roman" w:hAnsi="Times New Roman" w:eastAsia="仿宋_GB2312" w:cs="Times New Roman"/>
          <w:color w:val="auto"/>
          <w:kern w:val="2"/>
          <w:sz w:val="32"/>
          <w:szCs w:val="32"/>
          <w:highlight w:val="none"/>
          <w:u w:val="none"/>
          <w:lang w:val="en-US" w:eastAsia="zh-CN" w:bidi="ar-SA"/>
        </w:rPr>
        <w:t>年</w:t>
      </w:r>
      <w:r>
        <w:rPr>
          <w:rFonts w:hint="eastAsia" w:eastAsia="仿宋_GB2312" w:cs="Times New Roman"/>
          <w:color w:val="auto"/>
          <w:kern w:val="2"/>
          <w:sz w:val="32"/>
          <w:szCs w:val="32"/>
          <w:highlight w:val="none"/>
          <w:u w:val="none"/>
          <w:lang w:val="en-US" w:eastAsia="zh-CN" w:bidi="ar-SA"/>
        </w:rPr>
        <w:t>8</w:t>
      </w:r>
      <w:r>
        <w:rPr>
          <w:rFonts w:hint="default" w:ascii="Times New Roman" w:hAnsi="Times New Roman" w:eastAsia="仿宋_GB2312" w:cs="Times New Roman"/>
          <w:color w:val="auto"/>
          <w:kern w:val="2"/>
          <w:sz w:val="32"/>
          <w:szCs w:val="32"/>
          <w:highlight w:val="none"/>
          <w:u w:val="none"/>
          <w:lang w:val="en-US" w:eastAsia="zh-CN" w:bidi="ar-SA"/>
        </w:rPr>
        <w:t>月</w:t>
      </w:r>
      <w:r>
        <w:rPr>
          <w:rFonts w:hint="eastAsia" w:eastAsia="仿宋_GB2312" w:cs="Times New Roman"/>
          <w:color w:val="auto"/>
          <w:kern w:val="2"/>
          <w:sz w:val="32"/>
          <w:szCs w:val="32"/>
          <w:highlight w:val="none"/>
          <w:u w:val="none"/>
          <w:lang w:val="en-US" w:eastAsia="zh-CN" w:bidi="ar-SA"/>
        </w:rPr>
        <w:t>21</w:t>
      </w:r>
      <w:r>
        <w:rPr>
          <w:rFonts w:hint="default" w:ascii="Times New Roman" w:hAnsi="Times New Roman" w:eastAsia="仿宋_GB2312" w:cs="Times New Roman"/>
          <w:color w:val="auto"/>
          <w:sz w:val="32"/>
          <w:szCs w:val="32"/>
        </w:rPr>
        <w:t>日</w:t>
      </w:r>
    </w:p>
    <w:p>
      <w:pPr>
        <w:widowControl/>
        <w:spacing w:line="600" w:lineRule="exact"/>
        <w:textAlignment w:val="baseline"/>
        <w:rPr>
          <w:rFonts w:hint="default" w:ascii="Times New Roman" w:hAnsi="Times New Roman" w:eastAsia="仿宋_GB2312" w:cs="Times New Roman"/>
          <w:color w:val="auto"/>
          <w:sz w:val="32"/>
          <w:szCs w:val="32"/>
        </w:rPr>
      </w:pPr>
    </w:p>
    <w:p>
      <w:pPr>
        <w:spacing w:line="600" w:lineRule="exact"/>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公开方式：</w:t>
      </w:r>
      <w:r>
        <w:rPr>
          <w:rFonts w:hint="default" w:ascii="Times New Roman" w:hAnsi="Times New Roman" w:eastAsia="仿宋_GB2312" w:cs="Times New Roman"/>
          <w:color w:val="auto"/>
          <w:sz w:val="32"/>
          <w:szCs w:val="32"/>
        </w:rPr>
        <w:t>主动公开</w:t>
      </w:r>
    </w:p>
    <w:p>
      <w:pPr>
        <w:spacing w:line="560" w:lineRule="exact"/>
        <w:ind w:left="1104" w:leftChars="201" w:hanging="690" w:hangingChars="250"/>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抄送：国家自然资源督察广州局，财政部广东监管局，省财政厅、省人</w:t>
      </w:r>
    </w:p>
    <w:p>
      <w:pPr>
        <w:spacing w:line="560" w:lineRule="exact"/>
        <w:ind w:left="1100" w:leftChars="467" w:hanging="138" w:hangingChars="50"/>
        <w:rPr>
          <w:rFonts w:hint="eastAsia" w:ascii="Times New Roman" w:hAnsi="Times New Roman" w:eastAsia="仿宋_GB2312" w:cs="Times New Roman"/>
          <w:color w:val="auto"/>
          <w:lang w:eastAsia="zh-CN"/>
        </w:rPr>
      </w:pPr>
      <w:r>
        <w:rPr>
          <w:rFonts w:hint="default" w:ascii="Times New Roman" w:hAnsi="Times New Roman" w:eastAsia="仿宋_GB2312" w:cs="Times New Roman"/>
          <w:color w:val="auto"/>
          <w:sz w:val="28"/>
          <w:szCs w:val="28"/>
        </w:rPr>
        <w:t>力资源和社会保障厅、省自然资源厅、省农业农村厅、国家税务总局广东省税务局</w:t>
      </w:r>
      <w:r>
        <w:rPr>
          <w:rFonts w:hint="eastAsia" w:eastAsia="仿宋_GB2312" w:cs="Times New Roman"/>
          <w:color w:val="auto"/>
          <w:sz w:val="28"/>
          <w:szCs w:val="28"/>
          <w:lang w:eastAsia="zh-CN"/>
        </w:rPr>
        <w:t>。</w:t>
      </w:r>
    </w:p>
    <w:sectPr>
      <w:footerReference r:id="rId3" w:type="default"/>
      <w:footerReference r:id="rId4" w:type="even"/>
      <w:pgSz w:w="11906" w:h="16838"/>
      <w:pgMar w:top="1814" w:right="1361" w:bottom="1474" w:left="1531" w:header="851" w:footer="1587" w:gutter="0"/>
      <w:cols w:space="720" w:num="1"/>
      <w:titlePg/>
      <w:rtlGutter w:val="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3"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Arial Unicode MS"/>
    <w:panose1 w:val="03000509000000000000"/>
    <w:charset w:val="86"/>
    <w:family w:val="auto"/>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6"/>
        <w:rFonts w:hint="eastAsia"/>
        <w:sz w:val="28"/>
        <w:szCs w:val="28"/>
      </w:rPr>
    </w:pPr>
    <w:r>
      <w:rPr>
        <w:rStyle w:val="6"/>
        <w:rFonts w:hint="eastAsia"/>
        <w:sz w:val="28"/>
        <w:szCs w:val="28"/>
      </w:rPr>
      <w:t>—</w:t>
    </w:r>
    <w:r>
      <w:rPr>
        <w:sz w:val="28"/>
        <w:szCs w:val="28"/>
      </w:rPr>
      <w:fldChar w:fldCharType="begin"/>
    </w:r>
    <w:r>
      <w:rPr>
        <w:rStyle w:val="6"/>
        <w:sz w:val="28"/>
        <w:szCs w:val="28"/>
      </w:rPr>
      <w:instrText xml:space="preserve">PAGE  </w:instrText>
    </w:r>
    <w:r>
      <w:rPr>
        <w:sz w:val="28"/>
        <w:szCs w:val="28"/>
      </w:rPr>
      <w:fldChar w:fldCharType="separate"/>
    </w:r>
    <w:r>
      <w:rPr>
        <w:rStyle w:val="6"/>
        <w:sz w:val="28"/>
        <w:szCs w:val="28"/>
      </w:rPr>
      <w:t>4</w:t>
    </w:r>
    <w:r>
      <w:rPr>
        <w:sz w:val="28"/>
        <w:szCs w:val="28"/>
      </w:rPr>
      <w:fldChar w:fldCharType="end"/>
    </w:r>
    <w:r>
      <w:rPr>
        <w:rStyle w:val="6"/>
        <w:rFonts w:hint="eastAsia"/>
        <w:sz w:val="28"/>
        <w:szCs w:val="28"/>
      </w:rPr>
      <w:t>—</w:t>
    </w:r>
  </w:p>
  <w:p>
    <w:pPr>
      <w:pStyle w:val="3"/>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6"/>
      </w:rPr>
    </w:pPr>
    <w:r>
      <w:fldChar w:fldCharType="begin"/>
    </w:r>
    <w:r>
      <w:rPr>
        <w:rStyle w:val="6"/>
      </w:rPr>
      <w:instrText xml:space="preserve">PAGE  </w:instrText>
    </w:r>
    <w:r>
      <w:fldChar w:fldCharType="end"/>
    </w:r>
  </w:p>
  <w:p>
    <w:pPr>
      <w:pStyle w:val="3"/>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9E8"/>
    <w:rsid w:val="007239E8"/>
    <w:rsid w:val="026C2F25"/>
    <w:rsid w:val="02810FF7"/>
    <w:rsid w:val="0346238A"/>
    <w:rsid w:val="055C27B5"/>
    <w:rsid w:val="0C9920D9"/>
    <w:rsid w:val="0F051FAE"/>
    <w:rsid w:val="0F7B02F4"/>
    <w:rsid w:val="0FE8454D"/>
    <w:rsid w:val="109F6DD2"/>
    <w:rsid w:val="13236B26"/>
    <w:rsid w:val="14E70633"/>
    <w:rsid w:val="15EA2560"/>
    <w:rsid w:val="204B05F8"/>
    <w:rsid w:val="26AD3E24"/>
    <w:rsid w:val="2E6F1820"/>
    <w:rsid w:val="32043682"/>
    <w:rsid w:val="33935FAE"/>
    <w:rsid w:val="34733AF4"/>
    <w:rsid w:val="381E4F28"/>
    <w:rsid w:val="3BBA7AA0"/>
    <w:rsid w:val="3E8770EB"/>
    <w:rsid w:val="407B1783"/>
    <w:rsid w:val="429C3C8E"/>
    <w:rsid w:val="44481963"/>
    <w:rsid w:val="483A73C5"/>
    <w:rsid w:val="4C9C00C8"/>
    <w:rsid w:val="4F3A3A5E"/>
    <w:rsid w:val="4F5579DC"/>
    <w:rsid w:val="4F617A2B"/>
    <w:rsid w:val="506F56B2"/>
    <w:rsid w:val="51C56C38"/>
    <w:rsid w:val="54AD5139"/>
    <w:rsid w:val="555846C7"/>
    <w:rsid w:val="56A7023F"/>
    <w:rsid w:val="579D2DD8"/>
    <w:rsid w:val="59B07162"/>
    <w:rsid w:val="5D265BA5"/>
    <w:rsid w:val="5D293D56"/>
    <w:rsid w:val="5EE0577F"/>
    <w:rsid w:val="6AAD4D9D"/>
    <w:rsid w:val="6D593268"/>
    <w:rsid w:val="770C5427"/>
    <w:rsid w:val="7BC435A7"/>
    <w:rsid w:val="7BF82EAB"/>
    <w:rsid w:val="7D793B7C"/>
    <w:rsid w:val="7E2F5E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szCs w:val="18"/>
    </w:rPr>
  </w:style>
  <w:style w:type="character" w:styleId="6">
    <w:name w:val="page number"/>
    <w:basedOn w:val="5"/>
    <w:qFormat/>
    <w:uiPriority w:val="0"/>
  </w:style>
  <w:style w:type="paragraph" w:customStyle="1" w:styleId="7">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qFormat/>
    <w:uiPriority w:val="0"/>
    <w:pPr>
      <w:jc w:val="both"/>
    </w:pPr>
    <w:rPr>
      <w:rFonts w:ascii="Times New Roman" w:hAnsi="Times New Roman" w:eastAsia="宋体" w:cs="Times New Roman"/>
      <w:kern w:val="2"/>
      <w:sz w:val="3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4</TotalTime>
  <ScaleCrop>false</ScaleCrop>
  <LinksUpToDate>false</LinksUpToDate>
  <CharactersWithSpaces>0</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2025-03-24T02:12:00Z</dcterms:created>
  <dc:creator>123</dc:creator>
  <cp:lastModifiedBy>商梓杰</cp:lastModifiedBy>
  <dcterms:modified xsi:type="dcterms:W3CDTF">2026-07-24T08:55:29Z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50C58CED391548A2B10BA66E45B58CF7</vt:lpwstr>
  </property>
</Properties>
</file>